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3A" w:rsidRPr="00D4511E" w:rsidRDefault="0062603A" w:rsidP="0062603A">
      <w:pPr>
        <w:jc w:val="right"/>
        <w:rPr>
          <w:b/>
        </w:rPr>
      </w:pPr>
      <w:bookmarkStart w:id="0" w:name="_Toc119317216"/>
      <w:r w:rsidRPr="00D4511E">
        <w:rPr>
          <w:b/>
        </w:rPr>
        <w:t>Приложение 1 към План за безопасност и здраве</w:t>
      </w:r>
    </w:p>
    <w:p w:rsidR="0062603A" w:rsidRDefault="0062603A" w:rsidP="0062603A">
      <w:pPr>
        <w:pStyle w:val="2"/>
        <w:keepNext w:val="0"/>
        <w:numPr>
          <w:ilvl w:val="1"/>
          <w:numId w:val="0"/>
        </w:numPr>
        <w:tabs>
          <w:tab w:val="clear" w:pos="900"/>
          <w:tab w:val="num" w:pos="1008"/>
        </w:tabs>
        <w:ind w:left="1008" w:hanging="576"/>
        <w:jc w:val="left"/>
      </w:pPr>
    </w:p>
    <w:p w:rsidR="0062603A" w:rsidRDefault="0062603A" w:rsidP="0062603A">
      <w:pPr>
        <w:pStyle w:val="2"/>
        <w:keepNext w:val="0"/>
        <w:numPr>
          <w:ilvl w:val="1"/>
          <w:numId w:val="0"/>
        </w:numPr>
        <w:tabs>
          <w:tab w:val="clear" w:pos="900"/>
          <w:tab w:val="num" w:pos="1008"/>
        </w:tabs>
        <w:ind w:left="1008" w:hanging="576"/>
        <w:jc w:val="left"/>
      </w:pPr>
    </w:p>
    <w:p w:rsidR="0062603A" w:rsidRDefault="0062603A" w:rsidP="0062603A">
      <w:pPr>
        <w:pStyle w:val="2"/>
        <w:keepNext w:val="0"/>
        <w:numPr>
          <w:ilvl w:val="1"/>
          <w:numId w:val="0"/>
        </w:numPr>
        <w:tabs>
          <w:tab w:val="clear" w:pos="900"/>
          <w:tab w:val="num" w:pos="1008"/>
        </w:tabs>
        <w:ind w:left="1008" w:hanging="576"/>
        <w:jc w:val="left"/>
      </w:pPr>
    </w:p>
    <w:p w:rsidR="0062603A" w:rsidRDefault="0062603A" w:rsidP="0062603A">
      <w:pPr>
        <w:pStyle w:val="2"/>
        <w:keepNext w:val="0"/>
        <w:numPr>
          <w:ilvl w:val="1"/>
          <w:numId w:val="0"/>
        </w:numPr>
        <w:tabs>
          <w:tab w:val="clear" w:pos="900"/>
          <w:tab w:val="num" w:pos="1008"/>
        </w:tabs>
        <w:ind w:left="1008" w:hanging="576"/>
        <w:jc w:val="left"/>
      </w:pPr>
    </w:p>
    <w:p w:rsidR="0062603A" w:rsidRDefault="0062603A" w:rsidP="0062603A">
      <w:pPr>
        <w:pStyle w:val="2"/>
        <w:keepNext w:val="0"/>
        <w:numPr>
          <w:ilvl w:val="1"/>
          <w:numId w:val="0"/>
        </w:numPr>
        <w:tabs>
          <w:tab w:val="clear" w:pos="900"/>
          <w:tab w:val="num" w:pos="1008"/>
        </w:tabs>
        <w:ind w:left="1008" w:hanging="576"/>
        <w:jc w:val="left"/>
      </w:pPr>
    </w:p>
    <w:p w:rsidR="0062603A" w:rsidRPr="004D1959" w:rsidRDefault="0062603A" w:rsidP="0062603A">
      <w:pPr>
        <w:jc w:val="center"/>
        <w:rPr>
          <w:b/>
          <w:i/>
          <w:sz w:val="32"/>
          <w:szCs w:val="32"/>
        </w:rPr>
      </w:pPr>
      <w:r w:rsidRPr="004D1959">
        <w:rPr>
          <w:b/>
          <w:sz w:val="32"/>
          <w:szCs w:val="32"/>
        </w:rPr>
        <w:t>ПРОГРАМА ЗА РАДИАЦИОННА ЗАЩИТА</w:t>
      </w:r>
    </w:p>
    <w:p w:rsidR="0062603A" w:rsidRPr="004D1959" w:rsidRDefault="0062603A" w:rsidP="0062603A">
      <w:pPr>
        <w:jc w:val="center"/>
        <w:rPr>
          <w:b/>
          <w:i/>
          <w:sz w:val="32"/>
          <w:szCs w:val="32"/>
        </w:rPr>
      </w:pPr>
      <w:r w:rsidRPr="004D1959">
        <w:rPr>
          <w:b/>
          <w:sz w:val="32"/>
          <w:szCs w:val="32"/>
        </w:rPr>
        <w:t>И РАДИАЦИОНЕН КОНТРОЛ</w:t>
      </w:r>
    </w:p>
    <w:p w:rsidR="0062603A" w:rsidRPr="005F646A" w:rsidRDefault="0062603A" w:rsidP="0062603A"/>
    <w:p w:rsidR="0062603A" w:rsidRPr="00E8403C" w:rsidRDefault="0062603A" w:rsidP="0062603A">
      <w:pPr>
        <w:jc w:val="center"/>
      </w:pPr>
      <w:r>
        <w:t>за</w:t>
      </w:r>
    </w:p>
    <w:p w:rsidR="0062603A" w:rsidRPr="00E8403C" w:rsidRDefault="0062603A" w:rsidP="0062603A">
      <w:pPr>
        <w:ind w:firstLine="0"/>
        <w:jc w:val="center"/>
        <w:rPr>
          <w:rFonts w:ascii="Times New Roman Bold" w:hAnsi="Times New Roman Bold"/>
          <w:b/>
          <w:i/>
          <w:caps/>
          <w:sz w:val="28"/>
        </w:rPr>
      </w:pPr>
      <w:r w:rsidRPr="00E8403C">
        <w:rPr>
          <w:rFonts w:ascii="Times New Roman Bold" w:hAnsi="Times New Roman Bold"/>
          <w:b/>
          <w:caps/>
          <w:sz w:val="28"/>
        </w:rPr>
        <w:t>ремонтно възстановителни работи на:</w:t>
      </w:r>
    </w:p>
    <w:p w:rsidR="0062603A" w:rsidRDefault="0062603A" w:rsidP="0062603A">
      <w:pPr>
        <w:pStyle w:val="2"/>
        <w:keepNext w:val="0"/>
        <w:numPr>
          <w:ilvl w:val="1"/>
          <w:numId w:val="0"/>
        </w:numPr>
        <w:tabs>
          <w:tab w:val="clear" w:pos="900"/>
          <w:tab w:val="num" w:pos="1008"/>
        </w:tabs>
        <w:ind w:left="1008" w:hanging="576"/>
        <w:jc w:val="left"/>
        <w:rPr>
          <w:i/>
        </w:rPr>
      </w:pPr>
    </w:p>
    <w:p w:rsidR="0062603A" w:rsidRPr="00A42B4D" w:rsidRDefault="0062603A" w:rsidP="0062603A">
      <w:pPr>
        <w:pStyle w:val="a4"/>
        <w:spacing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A42B4D">
        <w:rPr>
          <w:rFonts w:ascii="Times New Roman" w:hAnsi="Times New Roman"/>
          <w:b/>
          <w:caps/>
          <w:sz w:val="24"/>
          <w:szCs w:val="24"/>
          <w:lang w:val="bg-BG"/>
        </w:rPr>
        <w:t xml:space="preserve">ОБЕКТ: ЕТД „Балкан“ ООД, </w:t>
      </w:r>
      <w:r w:rsidRPr="009B32CD">
        <w:rPr>
          <w:rStyle w:val="WW8Num6z1"/>
          <w:b/>
          <w:bCs/>
          <w:i/>
          <w:color w:val="000000"/>
          <w:sz w:val="24"/>
          <w:szCs w:val="24"/>
          <w:lang w:eastAsia="bg-BG"/>
        </w:rPr>
        <w:t>"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Техническа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ликвидация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хоризонтални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минни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изработки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>п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одземен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шахтов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комплекс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>"</w:t>
      </w:r>
    </w:p>
    <w:p w:rsidR="0062603A" w:rsidRPr="00A42B4D" w:rsidRDefault="0062603A" w:rsidP="0062603A">
      <w:pPr>
        <w:pStyle w:val="a4"/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603A" w:rsidRPr="009B32CD" w:rsidRDefault="0062603A" w:rsidP="0062603A">
      <w:pPr>
        <w:pStyle w:val="a4"/>
        <w:spacing w:line="360" w:lineRule="auto"/>
        <w:ind w:left="1531" w:hanging="1531"/>
        <w:jc w:val="both"/>
        <w:rPr>
          <w:rFonts w:ascii="Times New Roman" w:hAnsi="Times New Roman"/>
          <w:b/>
          <w:i/>
          <w:sz w:val="24"/>
          <w:szCs w:val="24"/>
        </w:rPr>
      </w:pPr>
      <w:r w:rsidRPr="00A42B4D">
        <w:rPr>
          <w:rFonts w:ascii="Times New Roman" w:hAnsi="Times New Roman"/>
          <w:b/>
          <w:caps/>
          <w:sz w:val="24"/>
          <w:szCs w:val="24"/>
          <w:lang w:val="bg-BG"/>
        </w:rPr>
        <w:t>Подобект:</w:t>
      </w:r>
      <w:r w:rsidRPr="00A42B4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B32CD">
        <w:rPr>
          <w:rFonts w:ascii="Times New Roman" w:hAnsi="Times New Roman"/>
          <w:i/>
          <w:sz w:val="24"/>
          <w:szCs w:val="24"/>
          <w:lang w:val="bg-BG"/>
        </w:rPr>
        <w:t>„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>Укреп</w:t>
      </w:r>
      <w:r w:rsidRPr="009B32CD">
        <w:rPr>
          <w:rFonts w:ascii="Times New Roman" w:hAnsi="Times New Roman"/>
          <w:b/>
          <w:i/>
          <w:sz w:val="24"/>
          <w:szCs w:val="24"/>
        </w:rPr>
        <w:t>ване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затваряне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отворени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минни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</w:rPr>
        <w:t>изработки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</w:rPr>
        <w:t>:</w:t>
      </w:r>
    </w:p>
    <w:p w:rsidR="0062603A" w:rsidRPr="009B32CD" w:rsidRDefault="0062603A" w:rsidP="0062603A">
      <w:pPr>
        <w:pStyle w:val="a4"/>
        <w:spacing w:line="360" w:lineRule="auto"/>
        <w:ind w:left="1531" w:hanging="113"/>
        <w:rPr>
          <w:rFonts w:ascii="Times New Roman" w:hAnsi="Times New Roman"/>
          <w:b/>
          <w:i/>
          <w:sz w:val="24"/>
          <w:szCs w:val="24"/>
          <w:lang w:val="bg-BG"/>
        </w:rPr>
      </w:pPr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>у-к „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>Пробойница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 xml:space="preserve">“ -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>Щолна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 xml:space="preserve"> 3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и 3а</w:t>
      </w:r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 xml:space="preserve">, 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>Щолна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 xml:space="preserve"> 4;  у-к „Хижата“ -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>Щолна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 xml:space="preserve"> 5;</w:t>
      </w:r>
    </w:p>
    <w:p w:rsidR="0062603A" w:rsidRPr="009B32CD" w:rsidRDefault="0062603A" w:rsidP="0062603A">
      <w:pPr>
        <w:pStyle w:val="a4"/>
        <w:spacing w:line="360" w:lineRule="auto"/>
        <w:ind w:left="1531" w:hanging="1531"/>
        <w:rPr>
          <w:rFonts w:ascii="Times New Roman" w:hAnsi="Times New Roman"/>
          <w:b/>
          <w:sz w:val="24"/>
          <w:szCs w:val="24"/>
          <w:lang w:val="bg-BG"/>
        </w:rPr>
      </w:pPr>
      <w:r w:rsidRPr="009B32CD"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у-к „Еленов дол“ - </w:t>
      </w:r>
      <w:proofErr w:type="spellStart"/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>Щолна</w:t>
      </w:r>
      <w:proofErr w:type="spellEnd"/>
      <w:r w:rsidRPr="009B32CD">
        <w:rPr>
          <w:rFonts w:ascii="Times New Roman" w:hAnsi="Times New Roman"/>
          <w:b/>
          <w:i/>
          <w:sz w:val="24"/>
          <w:szCs w:val="24"/>
          <w:lang w:val="bg-BG"/>
        </w:rPr>
        <w:t xml:space="preserve"> 6</w:t>
      </w:r>
    </w:p>
    <w:p w:rsidR="0062603A" w:rsidRPr="00D13019" w:rsidRDefault="0062603A" w:rsidP="0062603A"/>
    <w:p w:rsidR="0062603A" w:rsidRDefault="0062603A" w:rsidP="0062603A">
      <w:pPr>
        <w:pStyle w:val="2"/>
        <w:keepNext w:val="0"/>
        <w:numPr>
          <w:ilvl w:val="1"/>
          <w:numId w:val="0"/>
        </w:numPr>
        <w:tabs>
          <w:tab w:val="clear" w:pos="900"/>
          <w:tab w:val="num" w:pos="1008"/>
        </w:tabs>
        <w:ind w:left="907"/>
        <w:jc w:val="left"/>
      </w:pPr>
    </w:p>
    <w:p w:rsidR="0062603A" w:rsidRDefault="0062603A" w:rsidP="0062603A">
      <w:pPr>
        <w:pStyle w:val="2"/>
        <w:keepNext w:val="0"/>
        <w:numPr>
          <w:ilvl w:val="1"/>
          <w:numId w:val="0"/>
        </w:numPr>
        <w:tabs>
          <w:tab w:val="clear" w:pos="900"/>
          <w:tab w:val="num" w:pos="1008"/>
        </w:tabs>
        <w:ind w:left="1008" w:hanging="576"/>
        <w:jc w:val="left"/>
      </w:pPr>
    </w:p>
    <w:p w:rsidR="0062603A" w:rsidRDefault="0062603A" w:rsidP="0062603A">
      <w:pPr>
        <w:pStyle w:val="2"/>
        <w:keepNext w:val="0"/>
        <w:numPr>
          <w:ilvl w:val="1"/>
          <w:numId w:val="0"/>
        </w:numPr>
        <w:tabs>
          <w:tab w:val="clear" w:pos="900"/>
          <w:tab w:val="num" w:pos="1008"/>
        </w:tabs>
        <w:ind w:left="1008" w:hanging="576"/>
        <w:jc w:val="left"/>
      </w:pPr>
    </w:p>
    <w:p w:rsidR="0062603A" w:rsidRDefault="0062603A" w:rsidP="0062603A"/>
    <w:p w:rsidR="0062603A" w:rsidRDefault="0062603A" w:rsidP="0062603A"/>
    <w:p w:rsidR="0062603A" w:rsidRPr="00D4511E" w:rsidRDefault="0062603A" w:rsidP="0062603A"/>
    <w:p w:rsidR="0062603A" w:rsidRDefault="0062603A" w:rsidP="0062603A"/>
    <w:p w:rsidR="0062603A" w:rsidRPr="00D13019" w:rsidRDefault="0062603A" w:rsidP="0062603A"/>
    <w:p w:rsidR="0062603A" w:rsidRDefault="0062603A" w:rsidP="0062603A">
      <w:pPr>
        <w:ind w:left="2124" w:firstLine="708"/>
      </w:pPr>
    </w:p>
    <w:p w:rsidR="0062603A" w:rsidRPr="00D13019" w:rsidRDefault="0062603A" w:rsidP="0062603A">
      <w:pPr>
        <w:ind w:left="2124" w:firstLine="708"/>
        <w:rPr>
          <w:b/>
          <w:i/>
        </w:rPr>
      </w:pPr>
      <w:r>
        <w:t>Януари, 2016</w:t>
      </w:r>
      <w:r w:rsidRPr="00D13019">
        <w:t xml:space="preserve"> г</w:t>
      </w:r>
    </w:p>
    <w:p w:rsidR="0062603A" w:rsidRDefault="0062603A" w:rsidP="0062603A">
      <w:pPr>
        <w:pStyle w:val="2"/>
        <w:keepNext w:val="0"/>
        <w:numPr>
          <w:ilvl w:val="1"/>
          <w:numId w:val="0"/>
        </w:numPr>
        <w:tabs>
          <w:tab w:val="clear" w:pos="900"/>
          <w:tab w:val="num" w:pos="1008"/>
        </w:tabs>
        <w:ind w:left="1008" w:hanging="576"/>
        <w:jc w:val="left"/>
      </w:pPr>
    </w:p>
    <w:p w:rsidR="0062603A" w:rsidRDefault="0062603A" w:rsidP="0062603A"/>
    <w:bookmarkEnd w:id="0"/>
    <w:p w:rsidR="0062603A" w:rsidRDefault="0062603A" w:rsidP="0062603A"/>
    <w:p w:rsidR="0062603A" w:rsidRPr="00074304" w:rsidRDefault="0062603A" w:rsidP="0062603A">
      <w:pPr>
        <w:pStyle w:val="1"/>
      </w:pPr>
      <w:bookmarkStart w:id="1" w:name="_Toc437196606"/>
      <w:r w:rsidRPr="00074304">
        <w:lastRenderedPageBreak/>
        <w:t>ВЪВЕДЕНИЕ</w:t>
      </w:r>
      <w:bookmarkEnd w:id="1"/>
    </w:p>
    <w:p w:rsidR="0062603A" w:rsidRDefault="0062603A" w:rsidP="0062603A">
      <w:r>
        <w:t xml:space="preserve">Програмата по радиационна защита е задължителна за всякакъв вид проекти, които се отнасят за дейности с пряко или косвено отношение към работата с открити и/или закрити източници на йонизиращи лъчения (ИЙЛ). </w:t>
      </w:r>
    </w:p>
    <w:p w:rsidR="0062603A" w:rsidRDefault="0062603A" w:rsidP="0062603A">
      <w:r>
        <w:t xml:space="preserve">Цел на настоящата програма е да определи основните изисквания за осигуряване на радиационна защита на персонала, изпълняващ дейности за </w:t>
      </w:r>
      <w:r w:rsidRPr="009954CD">
        <w:t xml:space="preserve">трайно </w:t>
      </w:r>
      <w:proofErr w:type="spellStart"/>
      <w:r w:rsidRPr="009954CD">
        <w:t>презатваряне</w:t>
      </w:r>
      <w:proofErr w:type="spellEnd"/>
      <w:r w:rsidRPr="009954CD">
        <w:t xml:space="preserve"> на устията на отворените минни изработки</w:t>
      </w:r>
      <w:r>
        <w:t xml:space="preserve"> и</w:t>
      </w:r>
      <w:r w:rsidRPr="009954CD">
        <w:t xml:space="preserve">  приоб</w:t>
      </w:r>
      <w:r>
        <w:t xml:space="preserve">щаването им към околния релеф, </w:t>
      </w:r>
      <w:r w:rsidRPr="009954CD">
        <w:t xml:space="preserve">по начин  на изпълнение, </w:t>
      </w:r>
      <w:proofErr w:type="spellStart"/>
      <w:r w:rsidRPr="009954CD">
        <w:t>непозволяващ</w:t>
      </w:r>
      <w:proofErr w:type="spellEnd"/>
      <w:r w:rsidRPr="009954CD">
        <w:t xml:space="preserve"> нерегламентирано проникване в </w:t>
      </w:r>
      <w:r>
        <w:t xml:space="preserve">минните </w:t>
      </w:r>
      <w:r w:rsidRPr="009954CD">
        <w:t>израбо</w:t>
      </w:r>
      <w:bookmarkStart w:id="2" w:name="_GoBack"/>
      <w:bookmarkEnd w:id="2"/>
      <w:r w:rsidRPr="009954CD">
        <w:t>тки</w:t>
      </w:r>
      <w:r>
        <w:t>.</w:t>
      </w:r>
    </w:p>
    <w:p w:rsidR="0062603A" w:rsidRDefault="0062603A" w:rsidP="0062603A">
      <w:r>
        <w:t xml:space="preserve"> В програмата се определят основните фактори за вредното въздействие на йонизиращите лъчения, състоянието на обекта, нормативната база, методи и средства за контрол, необходимите защитни средства, организацията.</w:t>
      </w:r>
    </w:p>
    <w:p w:rsidR="0062603A" w:rsidRPr="00074304" w:rsidRDefault="0062603A" w:rsidP="0062603A">
      <w:pPr>
        <w:pStyle w:val="1"/>
      </w:pPr>
      <w:bookmarkStart w:id="3" w:name="_Toc437196607"/>
      <w:r w:rsidRPr="00074304">
        <w:t>ЦЕЛИ НА ПРОГРАМАТА</w:t>
      </w:r>
      <w:bookmarkEnd w:id="3"/>
    </w:p>
    <w:p w:rsidR="0062603A" w:rsidRDefault="0062603A" w:rsidP="0062603A">
      <w:r>
        <w:t>Съгласно действащата в България нормативна уредба, разработването и изпълнението на програма за радиационна защита и радиационен контрол е задължителна при извършването на всякакъв вид дейности в обекти, предназначени за работа с радиоактивни вещества (РАВ) и други източници на йонизиращи лъчения (ИЙЛ), както и при събирането и изнасянето на радиоактивни отпадъци. Настоящата програма има за цел:</w:t>
      </w:r>
    </w:p>
    <w:p w:rsidR="0062603A" w:rsidRPr="00074304" w:rsidRDefault="0062603A" w:rsidP="0062603A">
      <w:pPr>
        <w:pStyle w:val="a5"/>
        <w:numPr>
          <w:ilvl w:val="0"/>
          <w:numId w:val="4"/>
        </w:numPr>
        <w:rPr>
          <w:lang w:val="en-GB"/>
        </w:rPr>
      </w:pPr>
      <w:r>
        <w:t>Да осигури индивидуалната защита на всеки член от персонала, работещ на обекта, и да не се допусне превишаване на пределно допустимите граници за облъчване, регламентирани в ОНРЗ-2012.</w:t>
      </w:r>
    </w:p>
    <w:p w:rsidR="0062603A" w:rsidRDefault="0062603A" w:rsidP="0062603A">
      <w:pPr>
        <w:pStyle w:val="a5"/>
        <w:numPr>
          <w:ilvl w:val="0"/>
          <w:numId w:val="4"/>
        </w:numPr>
      </w:pPr>
      <w:r>
        <w:t xml:space="preserve">Да не допусне допълнително замърсяване на околната среда по време на изпълнение на предвидените дейности по укрепване и затваряне на отворени минни изработки: </w:t>
      </w:r>
      <w:r w:rsidRPr="009B32CD">
        <w:t>у-к „</w:t>
      </w:r>
      <w:proofErr w:type="spellStart"/>
      <w:r w:rsidRPr="009B32CD">
        <w:t>Пробойница</w:t>
      </w:r>
      <w:proofErr w:type="spellEnd"/>
      <w:r w:rsidRPr="009B32CD">
        <w:t xml:space="preserve">“ - </w:t>
      </w:r>
      <w:proofErr w:type="spellStart"/>
      <w:r w:rsidRPr="009B32CD">
        <w:t>Щолна</w:t>
      </w:r>
      <w:proofErr w:type="spellEnd"/>
      <w:r w:rsidRPr="009B32CD">
        <w:t xml:space="preserve"> 3, </w:t>
      </w:r>
      <w:proofErr w:type="spellStart"/>
      <w:r>
        <w:t>Щолна</w:t>
      </w:r>
      <w:proofErr w:type="spellEnd"/>
      <w:r>
        <w:t xml:space="preserve"> 3а, </w:t>
      </w:r>
      <w:r w:rsidRPr="009B32CD">
        <w:t xml:space="preserve"> </w:t>
      </w:r>
      <w:proofErr w:type="spellStart"/>
      <w:r w:rsidRPr="009B32CD">
        <w:t>Щ</w:t>
      </w:r>
      <w:r>
        <w:t>олна</w:t>
      </w:r>
      <w:proofErr w:type="spellEnd"/>
      <w:r>
        <w:t xml:space="preserve"> 4;  у-к „Хижата“ - </w:t>
      </w:r>
      <w:proofErr w:type="spellStart"/>
      <w:r>
        <w:t>Щолна</w:t>
      </w:r>
      <w:proofErr w:type="spellEnd"/>
      <w:r>
        <w:t xml:space="preserve"> 5 и у-к „Еленов дол“ - </w:t>
      </w:r>
      <w:proofErr w:type="spellStart"/>
      <w:r w:rsidRPr="009B32CD">
        <w:t>Щолна</w:t>
      </w:r>
      <w:proofErr w:type="spellEnd"/>
      <w:r w:rsidRPr="009B32CD">
        <w:t xml:space="preserve"> 6</w:t>
      </w:r>
    </w:p>
    <w:p w:rsidR="0062603A" w:rsidRPr="00074304" w:rsidRDefault="0062603A" w:rsidP="0062603A">
      <w:pPr>
        <w:pStyle w:val="a5"/>
        <w:numPr>
          <w:ilvl w:val="0"/>
          <w:numId w:val="4"/>
        </w:numPr>
      </w:pPr>
      <w:r w:rsidRPr="00074304">
        <w:t>Отчитайки спецификата на работа</w:t>
      </w:r>
      <w:r>
        <w:t>,</w:t>
      </w:r>
      <w:r w:rsidRPr="00074304">
        <w:t xml:space="preserve"> да определи потенциалните източници на замърсяване на работната и околна среда, радиационния риск за персонала и населението, както и да планира необходимите за неговото ограничаване до възможния минимум защитни мерки, да препоръча методи и средства за контрол на радиационната обстановка по работните места и индивидуалното </w:t>
      </w:r>
      <w:proofErr w:type="spellStart"/>
      <w:r w:rsidRPr="00074304">
        <w:t>дозово</w:t>
      </w:r>
      <w:proofErr w:type="spellEnd"/>
      <w:r w:rsidRPr="00074304">
        <w:t xml:space="preserve"> натоварване. </w:t>
      </w:r>
    </w:p>
    <w:p w:rsidR="0062603A" w:rsidRPr="00074304" w:rsidRDefault="0062603A" w:rsidP="0062603A">
      <w:pPr>
        <w:pStyle w:val="1"/>
      </w:pPr>
      <w:bookmarkStart w:id="4" w:name="_Toc455230554"/>
      <w:bookmarkStart w:id="5" w:name="_Toc455230625"/>
      <w:bookmarkStart w:id="6" w:name="_Toc455230793"/>
      <w:bookmarkStart w:id="7" w:name="_Toc463847788"/>
      <w:bookmarkStart w:id="8" w:name="_Toc437196608"/>
      <w:r w:rsidRPr="00074304">
        <w:t>НОРМАТИВНА БАЗА</w:t>
      </w:r>
      <w:bookmarkEnd w:id="4"/>
      <w:bookmarkEnd w:id="5"/>
      <w:bookmarkEnd w:id="6"/>
      <w:bookmarkEnd w:id="7"/>
      <w:bookmarkEnd w:id="8"/>
    </w:p>
    <w:p w:rsidR="0062603A" w:rsidRDefault="0062603A" w:rsidP="0062603A">
      <w:r>
        <w:t>Принципът ALARA е основополагащ при планирането на всички дейности в сфера на йонизиращи лъчения. В съответствие с него радиационното облъчване трябва да бъде поддържано на ниво, толкова ниско колкото е разумно достижимо, като се вземат предвид всички икономически и социални фактори. Разработената за целите на настоящия проект програма за радиационна защита е изцяло съобразена с принципа ALARA.</w:t>
      </w:r>
    </w:p>
    <w:p w:rsidR="0062603A" w:rsidRDefault="0062603A" w:rsidP="0062603A">
      <w:r>
        <w:lastRenderedPageBreak/>
        <w:t xml:space="preserve">Програмата е изготвена въз основа на следните нормативни документи, регламентиращи здравословните и безопасни условия на труд и радиационната защита при работа в сфера на йонизиращи лъчения в България: 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t>Кодекс на труда, глава 13: Безопасни и здравословни условия на труда;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t xml:space="preserve">Закон за здравословни и безопасни условия на труд (ДВ, бр.124/1997 г., изм., ДВ, бр.86/1999 г., ДВ, бр.64/2000 г., ДВ, бр.92/2000 г. и бр. 25 и бр. 111/2001г., изм. и доп. ДВ, бр. 40/18.05.2007 г. … </w:t>
      </w:r>
      <w:proofErr w:type="spellStart"/>
      <w:r w:rsidRPr="004723E8">
        <w:t>посл</w:t>
      </w:r>
      <w:proofErr w:type="spellEnd"/>
      <w:r w:rsidRPr="004723E8">
        <w:t xml:space="preserve">. Изм. И доп. ДВ. бр. 79 от 13.10.2015 г., в сила от 01.11.2015 г.); 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t>Закон за безопасно използване на ядрената енергия (</w:t>
      </w:r>
      <w:proofErr w:type="spellStart"/>
      <w:r w:rsidRPr="004723E8">
        <w:t>обн</w:t>
      </w:r>
      <w:proofErr w:type="spellEnd"/>
      <w:r w:rsidRPr="004723E8">
        <w:t xml:space="preserve">. ДВ, бр. 63/2002 г., изм. ДВ, бр. 120/2002 г., изм. ДВ, бр. 70/2004 г., изм. ДВ, бр. 76/2005 г., изм. ДВ, бр. 88/2005 г., изм. ДВ, бр. 11/2007 г., … </w:t>
      </w:r>
      <w:proofErr w:type="spellStart"/>
      <w:r w:rsidRPr="004723E8">
        <w:t>посл</w:t>
      </w:r>
      <w:proofErr w:type="spellEnd"/>
      <w:r w:rsidRPr="004723E8">
        <w:t>. изм.  ДВ. бр.14 от 20.02.2015 г.);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rPr>
          <w:color w:val="000000"/>
          <w:lang w:eastAsia="bg-BG"/>
        </w:rPr>
        <w:t xml:space="preserve">Наредба №1 от 15.11.1999 г. за норми за целите на радиационната защита и безопасност при ликвидиране на последствията от урановата промишленост в Република България, </w:t>
      </w:r>
      <w:proofErr w:type="spellStart"/>
      <w:r w:rsidRPr="004723E8">
        <w:rPr>
          <w:color w:val="000000"/>
          <w:lang w:eastAsia="bg-BG"/>
        </w:rPr>
        <w:t>Обн</w:t>
      </w:r>
      <w:proofErr w:type="spellEnd"/>
      <w:r w:rsidRPr="004723E8">
        <w:rPr>
          <w:color w:val="000000"/>
          <w:lang w:eastAsia="bg-BG"/>
        </w:rPr>
        <w:t>. ДВ. бр. 101 от 23.11.1999 г, изм. ДВ. бр. 63 от 17.07.2001 г. (Издадена от КИАЕМЦ, МОСВ и МЗ);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t>Наредба за основните норми за радиационна защита (ОНРЗ-20</w:t>
      </w:r>
      <w:r>
        <w:t>12</w:t>
      </w:r>
      <w:r w:rsidRPr="004723E8">
        <w:t xml:space="preserve">), приети с ПМС № 229  от 25.09.2012,  </w:t>
      </w:r>
      <w:proofErr w:type="spellStart"/>
      <w:r w:rsidRPr="004723E8">
        <w:t>обн</w:t>
      </w:r>
      <w:proofErr w:type="spellEnd"/>
      <w:r w:rsidRPr="004723E8">
        <w:t>., ДВ, бр.76/05.08.2012 г.;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t xml:space="preserve">Наредба за радиационна защита при дейности с източници на йонизиращи лъчения  приета с Постановление № 200 на Министерския съвет от 04 август 2004 г. </w:t>
      </w:r>
      <w:proofErr w:type="spellStart"/>
      <w:r w:rsidRPr="004723E8">
        <w:t>обн</w:t>
      </w:r>
      <w:proofErr w:type="spellEnd"/>
      <w:r w:rsidRPr="004723E8">
        <w:t xml:space="preserve">., ДВ, бр. 74/24.08.2004 г., </w:t>
      </w:r>
      <w:proofErr w:type="spellStart"/>
      <w:r w:rsidRPr="004723E8">
        <w:t>посл</w:t>
      </w:r>
      <w:proofErr w:type="spellEnd"/>
      <w:r w:rsidRPr="004723E8">
        <w:t>. Изм. И доп. 05.10.2012 г.;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t xml:space="preserve">Наредба за условията и реда за уведомяване на Агенцията за ядрено регулиране за събития в ядрени съоръжения и обекти с източници на йонизиращи лъчения, прието с ПМС № 188 от 30 юли 2004 г., </w:t>
      </w:r>
      <w:proofErr w:type="spellStart"/>
      <w:r w:rsidRPr="004723E8">
        <w:t>обн</w:t>
      </w:r>
      <w:proofErr w:type="spellEnd"/>
      <w:r w:rsidRPr="004723E8">
        <w:t xml:space="preserve">., ДВ, бр. 71/13.08.2004 г., изм. и доп. ДВ, бр. 46/12.06.2007 г. .. </w:t>
      </w:r>
      <w:proofErr w:type="spellStart"/>
      <w:r w:rsidRPr="004723E8">
        <w:t>посл</w:t>
      </w:r>
      <w:proofErr w:type="spellEnd"/>
      <w:r w:rsidRPr="004723E8">
        <w:t xml:space="preserve">. </w:t>
      </w:r>
      <w:proofErr w:type="spellStart"/>
      <w:r w:rsidRPr="004723E8">
        <w:t>изм</w:t>
      </w:r>
      <w:proofErr w:type="spellEnd"/>
      <w:r w:rsidRPr="004723E8">
        <w:t xml:space="preserve"> ДВ. бр. 7 от 21.01.2011 г.;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t xml:space="preserve">Наредба за реда за издаване на лицензии и разрешения за безопасно използване на ядрената енергия,  </w:t>
      </w:r>
      <w:proofErr w:type="spellStart"/>
      <w:r w:rsidRPr="004723E8">
        <w:t>обн</w:t>
      </w:r>
      <w:proofErr w:type="spellEnd"/>
      <w:r w:rsidRPr="004723E8">
        <w:t xml:space="preserve">., ДВ, бр. 41/18.05.2004 г., изм. ДВ, бр. 78/2005 г. … </w:t>
      </w:r>
      <w:proofErr w:type="spellStart"/>
      <w:r w:rsidRPr="004723E8">
        <w:t>посл</w:t>
      </w:r>
      <w:proofErr w:type="spellEnd"/>
      <w:r w:rsidRPr="004723E8">
        <w:t>. изм. и доп. ДВ. бр. 76 от 05.10.2012 г.;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t xml:space="preserve">Наредба за условията и реда за придобиване на професионална квалификация и за реда за издаване на лицензии за специализирано обучение и на удостоверения за правоспособност за използване на ядрената енергия, приета с Постановление № 209 на Министерски съвет от 06.08.2004 г. </w:t>
      </w:r>
      <w:proofErr w:type="spellStart"/>
      <w:r w:rsidRPr="004723E8">
        <w:t>обн</w:t>
      </w:r>
      <w:proofErr w:type="spellEnd"/>
      <w:r w:rsidRPr="004723E8">
        <w:t xml:space="preserve">., ДВ, бр. 74 от 24.08. 2004 г., изм. и доп. ДВ, бр. 46/2007 г. … </w:t>
      </w:r>
      <w:proofErr w:type="spellStart"/>
      <w:r w:rsidRPr="004723E8">
        <w:t>посл</w:t>
      </w:r>
      <w:proofErr w:type="spellEnd"/>
      <w:r w:rsidRPr="004723E8">
        <w:t>. изм. и доп. ДВ. бр. 27 от 14.04.2015 г.;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t xml:space="preserve">Наредба № 32 от 07.11.2005 г. за условията и реда за извършване на индивидуален </w:t>
      </w:r>
      <w:proofErr w:type="spellStart"/>
      <w:r w:rsidRPr="004723E8">
        <w:t>дозиметричен</w:t>
      </w:r>
      <w:proofErr w:type="spellEnd"/>
      <w:r w:rsidRPr="004723E8">
        <w:t xml:space="preserve"> контрол на лицата, работещи с източници на йонизиращи лъчения, издадена от министъра на здравеопазването </w:t>
      </w:r>
      <w:proofErr w:type="spellStart"/>
      <w:r w:rsidRPr="004723E8">
        <w:t>обн</w:t>
      </w:r>
      <w:proofErr w:type="spellEnd"/>
      <w:r w:rsidRPr="004723E8">
        <w:t>., ДВ, бр.91/15.11.2005 г.;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t xml:space="preserve">Наредба №29 от 16.09.2005 г. за здравни норми и изисквания при работа в среда на йонизиращи лъчения, издадена от МЗ, </w:t>
      </w:r>
      <w:proofErr w:type="spellStart"/>
      <w:r w:rsidRPr="004723E8">
        <w:t>обн</w:t>
      </w:r>
      <w:proofErr w:type="spellEnd"/>
      <w:r w:rsidRPr="004723E8">
        <w:t>. ДВ. бр. 79 от 30.09.2005 г.;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t xml:space="preserve">Наредба № 11 от 21.12.2005 г. за определяне на условията и реда за осигуряване на безплатна храна и/или добавки към нея, издадена от министъра на труда и соц. политика и министъра на здравеопазването, </w:t>
      </w:r>
      <w:proofErr w:type="spellStart"/>
      <w:r w:rsidRPr="004723E8">
        <w:t>обн</w:t>
      </w:r>
      <w:proofErr w:type="spellEnd"/>
      <w:r w:rsidRPr="004723E8">
        <w:t>., ДВ, бр. 1 от 03.01.2006 г.;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t>Наредба № 3 на МНЗ за задължителните предварителни и периодични медицински прегледи на работниците (ДВ бр. 16/1987; изм. ДВ, бр.65/1991г., ДВ, бр. 102/1994 и изм. и доп. ДВ, бр. 78/2005).;</w:t>
      </w:r>
    </w:p>
    <w:p w:rsidR="0062603A" w:rsidRPr="004723E8" w:rsidRDefault="0062603A" w:rsidP="0062603A">
      <w:pPr>
        <w:pStyle w:val="a5"/>
        <w:numPr>
          <w:ilvl w:val="0"/>
          <w:numId w:val="2"/>
        </w:numPr>
      </w:pPr>
      <w:r w:rsidRPr="004723E8">
        <w:rPr>
          <w:szCs w:val="26"/>
        </w:rPr>
        <w:lastRenderedPageBreak/>
        <w:t xml:space="preserve">Инструкция №1 от 1994 г. за реда и начина за третиране на радиоактивно замърсени материали, съоръжения и отпадъци от ликвидирането на </w:t>
      </w:r>
      <w:proofErr w:type="spellStart"/>
      <w:r w:rsidRPr="004723E8">
        <w:rPr>
          <w:szCs w:val="26"/>
        </w:rPr>
        <w:t>уранодобивни</w:t>
      </w:r>
      <w:proofErr w:type="spellEnd"/>
      <w:r w:rsidRPr="004723E8">
        <w:rPr>
          <w:szCs w:val="26"/>
        </w:rPr>
        <w:t xml:space="preserve"> обекти, Издадена от Председателя на КИАЕМЦ, </w:t>
      </w:r>
      <w:proofErr w:type="spellStart"/>
      <w:r w:rsidRPr="004723E8">
        <w:rPr>
          <w:szCs w:val="26"/>
        </w:rPr>
        <w:t>обн</w:t>
      </w:r>
      <w:proofErr w:type="spellEnd"/>
      <w:r w:rsidRPr="004723E8">
        <w:rPr>
          <w:szCs w:val="26"/>
        </w:rPr>
        <w:t xml:space="preserve">. ДВ. бр. 104 от 20.12.1994 г., изм. ДВ. бр. 101 от 23.11.1999 г. </w:t>
      </w:r>
    </w:p>
    <w:p w:rsidR="0062603A" w:rsidRPr="00A022F2" w:rsidRDefault="0062603A" w:rsidP="0062603A">
      <w:pPr>
        <w:pStyle w:val="1"/>
      </w:pPr>
      <w:bookmarkStart w:id="9" w:name="_Toc455230555"/>
      <w:bookmarkStart w:id="10" w:name="_Toc455230626"/>
      <w:bookmarkStart w:id="11" w:name="_Toc455230794"/>
      <w:bookmarkStart w:id="12" w:name="_Toc463847789"/>
      <w:r w:rsidRPr="00A022F2">
        <w:t xml:space="preserve"> </w:t>
      </w:r>
      <w:bookmarkStart w:id="13" w:name="_Toc437196609"/>
      <w:r w:rsidRPr="00A022F2">
        <w:t>ОБЛАСТ НА ПРИЛОЖИМОСТ</w:t>
      </w:r>
      <w:bookmarkEnd w:id="9"/>
      <w:bookmarkEnd w:id="10"/>
      <w:bookmarkEnd w:id="11"/>
      <w:bookmarkEnd w:id="12"/>
      <w:bookmarkEnd w:id="13"/>
    </w:p>
    <w:p w:rsidR="0062603A" w:rsidRDefault="0062603A" w:rsidP="0062603A">
      <w:r>
        <w:t xml:space="preserve">Проектните решения предвиждат ремонтно възстановителни работи за укрепване и </w:t>
      </w:r>
      <w:proofErr w:type="spellStart"/>
      <w:r>
        <w:t>презатваряне</w:t>
      </w:r>
      <w:proofErr w:type="spellEnd"/>
      <w:r>
        <w:t xml:space="preserve"> на отворени минни изработки на: </w:t>
      </w:r>
      <w:r w:rsidRPr="009B32CD">
        <w:t>у-к „</w:t>
      </w:r>
      <w:proofErr w:type="spellStart"/>
      <w:r w:rsidRPr="009B32CD">
        <w:t>Пробойница</w:t>
      </w:r>
      <w:proofErr w:type="spellEnd"/>
      <w:r w:rsidRPr="009B32CD">
        <w:t>“</w:t>
      </w:r>
      <w:r>
        <w:t xml:space="preserve"> -</w:t>
      </w:r>
      <w:r w:rsidRPr="009B32CD">
        <w:t xml:space="preserve"> </w:t>
      </w:r>
      <w:proofErr w:type="spellStart"/>
      <w:r w:rsidRPr="009B32CD">
        <w:t>Щолна</w:t>
      </w:r>
      <w:proofErr w:type="spellEnd"/>
      <w:r w:rsidRPr="009B32CD">
        <w:t xml:space="preserve"> 3, </w:t>
      </w:r>
      <w:proofErr w:type="spellStart"/>
      <w:r>
        <w:t>Щолна</w:t>
      </w:r>
      <w:proofErr w:type="spellEnd"/>
      <w:r>
        <w:t xml:space="preserve"> 3а, </w:t>
      </w:r>
      <w:r w:rsidRPr="009B32CD">
        <w:t xml:space="preserve"> </w:t>
      </w:r>
      <w:proofErr w:type="spellStart"/>
      <w:r w:rsidRPr="009B32CD">
        <w:t>Щ</w:t>
      </w:r>
      <w:r>
        <w:t>олна</w:t>
      </w:r>
      <w:proofErr w:type="spellEnd"/>
      <w:r>
        <w:t xml:space="preserve"> 4;  у-к „Хижата“ - </w:t>
      </w:r>
      <w:proofErr w:type="spellStart"/>
      <w:r>
        <w:t>Щолна</w:t>
      </w:r>
      <w:proofErr w:type="spellEnd"/>
      <w:r>
        <w:t xml:space="preserve"> 5 и у-к „Еленов дол“ - </w:t>
      </w:r>
      <w:proofErr w:type="spellStart"/>
      <w:r w:rsidRPr="009B32CD">
        <w:t>Щолна</w:t>
      </w:r>
      <w:proofErr w:type="spellEnd"/>
      <w:r w:rsidRPr="009B32CD">
        <w:t xml:space="preserve"> 6</w:t>
      </w:r>
      <w:r>
        <w:t xml:space="preserve">. </w:t>
      </w:r>
    </w:p>
    <w:p w:rsidR="0062603A" w:rsidRDefault="0062603A" w:rsidP="0062603A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A85E73">
        <w:rPr>
          <w:sz w:val="22"/>
          <w:szCs w:val="22"/>
        </w:rPr>
        <w:t xml:space="preserve">писаните </w:t>
      </w:r>
      <w:r>
        <w:rPr>
          <w:sz w:val="22"/>
          <w:szCs w:val="22"/>
        </w:rPr>
        <w:t xml:space="preserve">минни изработки </w:t>
      </w:r>
      <w:r w:rsidRPr="00A85E73">
        <w:rPr>
          <w:sz w:val="22"/>
          <w:szCs w:val="22"/>
        </w:rPr>
        <w:t xml:space="preserve">са </w:t>
      </w:r>
      <w:r>
        <w:rPr>
          <w:sz w:val="22"/>
          <w:szCs w:val="22"/>
        </w:rPr>
        <w:t xml:space="preserve">обекти </w:t>
      </w:r>
      <w:r w:rsidRPr="00A85E73">
        <w:rPr>
          <w:sz w:val="22"/>
          <w:szCs w:val="22"/>
        </w:rPr>
        <w:t xml:space="preserve">от бившия </w:t>
      </w:r>
      <w:proofErr w:type="spellStart"/>
      <w:r w:rsidRPr="00A85E73">
        <w:rPr>
          <w:sz w:val="22"/>
          <w:szCs w:val="22"/>
        </w:rPr>
        <w:t>уранодобив</w:t>
      </w:r>
      <w:proofErr w:type="spellEnd"/>
      <w:r>
        <w:rPr>
          <w:sz w:val="22"/>
          <w:szCs w:val="22"/>
        </w:rPr>
        <w:t xml:space="preserve">. На всички описани минни изработки са провеждани дейности по ликвидация. </w:t>
      </w:r>
    </w:p>
    <w:p w:rsidR="0062603A" w:rsidRDefault="0062603A" w:rsidP="0062603A">
      <w:pPr>
        <w:pStyle w:val="2"/>
      </w:pPr>
      <w:bookmarkStart w:id="14" w:name="_Toc437196610"/>
      <w:r>
        <w:rPr>
          <w:lang w:val="en-US"/>
        </w:rPr>
        <w:t>4</w:t>
      </w:r>
      <w:r>
        <w:t>.</w:t>
      </w:r>
      <w:proofErr w:type="gramStart"/>
      <w:r>
        <w:t>1.Предвидени</w:t>
      </w:r>
      <w:proofErr w:type="gramEnd"/>
      <w:r>
        <w:t xml:space="preserve"> дейности по укрепване и затваряне на отворените минни изработки</w:t>
      </w:r>
      <w:bookmarkEnd w:id="14"/>
    </w:p>
    <w:p w:rsidR="0062603A" w:rsidRPr="00FF37B0" w:rsidRDefault="0062603A" w:rsidP="0062603A">
      <w:pPr>
        <w:rPr>
          <w:sz w:val="22"/>
          <w:szCs w:val="22"/>
        </w:rPr>
      </w:pPr>
      <w:r w:rsidRPr="00FF37B0">
        <w:rPr>
          <w:sz w:val="22"/>
          <w:szCs w:val="22"/>
        </w:rPr>
        <w:t>Всички описани по-горе минни изработки са отворени и от тях изтичат руднични води.</w:t>
      </w:r>
    </w:p>
    <w:p w:rsidR="0062603A" w:rsidRDefault="0062603A" w:rsidP="0062603A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A85E73">
        <w:rPr>
          <w:sz w:val="22"/>
          <w:szCs w:val="22"/>
        </w:rPr>
        <w:t xml:space="preserve">тделните </w:t>
      </w:r>
      <w:r>
        <w:rPr>
          <w:sz w:val="22"/>
          <w:szCs w:val="22"/>
        </w:rPr>
        <w:t>участъци</w:t>
      </w:r>
      <w:r w:rsidRPr="00A85E73">
        <w:rPr>
          <w:sz w:val="22"/>
          <w:szCs w:val="22"/>
        </w:rPr>
        <w:t xml:space="preserve"> са разположени в планински терен и се намират на относително големи отстояния един от друг. </w:t>
      </w:r>
    </w:p>
    <w:p w:rsidR="0062603A" w:rsidRPr="00A85E73" w:rsidRDefault="0062603A" w:rsidP="0062603A">
      <w:pPr>
        <w:rPr>
          <w:lang w:val="ru-RU"/>
        </w:rPr>
      </w:pPr>
      <w:r>
        <w:rPr>
          <w:sz w:val="22"/>
          <w:szCs w:val="22"/>
        </w:rPr>
        <w:t xml:space="preserve">Проектните решения предвиждат </w:t>
      </w:r>
      <w:r w:rsidRPr="00A85E73">
        <w:rPr>
          <w:sz w:val="22"/>
          <w:szCs w:val="22"/>
        </w:rPr>
        <w:t>работ</w:t>
      </w:r>
      <w:r>
        <w:rPr>
          <w:sz w:val="22"/>
          <w:szCs w:val="22"/>
        </w:rPr>
        <w:t>а</w:t>
      </w:r>
      <w:r w:rsidRPr="00A85E73">
        <w:rPr>
          <w:sz w:val="22"/>
          <w:szCs w:val="22"/>
        </w:rPr>
        <w:t xml:space="preserve"> на открито (работна площадка пред устието на </w:t>
      </w:r>
      <w:proofErr w:type="spellStart"/>
      <w:r w:rsidRPr="00A85E73">
        <w:rPr>
          <w:sz w:val="22"/>
          <w:szCs w:val="22"/>
        </w:rPr>
        <w:t>щолните</w:t>
      </w:r>
      <w:proofErr w:type="spellEnd"/>
      <w:r w:rsidRPr="00A85E73">
        <w:rPr>
          <w:sz w:val="22"/>
          <w:szCs w:val="22"/>
        </w:rPr>
        <w:t xml:space="preserve">) и  в </w:t>
      </w:r>
      <w:r>
        <w:rPr>
          <w:sz w:val="22"/>
          <w:szCs w:val="22"/>
        </w:rPr>
        <w:t xml:space="preserve">някои от </w:t>
      </w:r>
      <w:proofErr w:type="spellStart"/>
      <w:r w:rsidRPr="00A85E73">
        <w:rPr>
          <w:sz w:val="22"/>
          <w:szCs w:val="22"/>
        </w:rPr>
        <w:t>щолните</w:t>
      </w:r>
      <w:proofErr w:type="spellEnd"/>
      <w:r w:rsidRPr="00A85E73">
        <w:rPr>
          <w:sz w:val="22"/>
          <w:szCs w:val="22"/>
        </w:rPr>
        <w:t xml:space="preserve"> </w:t>
      </w:r>
      <w:r>
        <w:rPr>
          <w:sz w:val="22"/>
          <w:szCs w:val="22"/>
        </w:rPr>
        <w:t>при</w:t>
      </w:r>
      <w:r w:rsidRPr="00A85E73">
        <w:rPr>
          <w:sz w:val="22"/>
          <w:szCs w:val="22"/>
        </w:rPr>
        <w:t xml:space="preserve"> максимално</w:t>
      </w:r>
      <w:r>
        <w:rPr>
          <w:sz w:val="22"/>
          <w:szCs w:val="22"/>
        </w:rPr>
        <w:t xml:space="preserve"> навлизане</w:t>
      </w:r>
      <w:r w:rsidRPr="00A85E73">
        <w:rPr>
          <w:sz w:val="22"/>
          <w:szCs w:val="22"/>
        </w:rPr>
        <w:t xml:space="preserve"> до 40 m навътре в </w:t>
      </w:r>
      <w:r>
        <w:rPr>
          <w:sz w:val="22"/>
          <w:szCs w:val="22"/>
        </w:rPr>
        <w:t>тях. Д</w:t>
      </w:r>
      <w:r w:rsidRPr="00A85E73">
        <w:rPr>
          <w:sz w:val="22"/>
          <w:szCs w:val="22"/>
        </w:rPr>
        <w:t>ейности</w:t>
      </w:r>
      <w:r>
        <w:rPr>
          <w:sz w:val="22"/>
          <w:szCs w:val="22"/>
        </w:rPr>
        <w:t xml:space="preserve">те, които ще се </w:t>
      </w:r>
      <w:r w:rsidRPr="007461A7">
        <w:rPr>
          <w:sz w:val="22"/>
          <w:szCs w:val="22"/>
        </w:rPr>
        <w:t xml:space="preserve">провеждат във вътрешността на минните </w:t>
      </w:r>
      <w:proofErr w:type="spellStart"/>
      <w:r w:rsidRPr="007461A7">
        <w:rPr>
          <w:sz w:val="22"/>
          <w:szCs w:val="22"/>
        </w:rPr>
        <w:t>израбoтки</w:t>
      </w:r>
      <w:proofErr w:type="spellEnd"/>
      <w:r w:rsidRPr="007461A7">
        <w:rPr>
          <w:sz w:val="22"/>
          <w:szCs w:val="22"/>
        </w:rPr>
        <w:t xml:space="preserve">  са: </w:t>
      </w:r>
      <w:proofErr w:type="spellStart"/>
      <w:r w:rsidRPr="007461A7">
        <w:rPr>
          <w:sz w:val="22"/>
          <w:szCs w:val="22"/>
        </w:rPr>
        <w:t>обрушовка</w:t>
      </w:r>
      <w:proofErr w:type="spellEnd"/>
      <w:r w:rsidRPr="007461A7">
        <w:rPr>
          <w:sz w:val="22"/>
          <w:szCs w:val="22"/>
        </w:rPr>
        <w:t xml:space="preserve"> (с ПВР пробивно-взривни работи); изграждане на </w:t>
      </w:r>
      <w:proofErr w:type="spellStart"/>
      <w:r w:rsidRPr="007461A7">
        <w:rPr>
          <w:sz w:val="22"/>
          <w:szCs w:val="22"/>
        </w:rPr>
        <w:t>водоотливна</w:t>
      </w:r>
      <w:proofErr w:type="spellEnd"/>
      <w:r w:rsidRPr="007461A7">
        <w:rPr>
          <w:sz w:val="22"/>
          <w:szCs w:val="22"/>
        </w:rPr>
        <w:t xml:space="preserve"> система (дренаж/тръба), </w:t>
      </w:r>
      <w:proofErr w:type="spellStart"/>
      <w:r w:rsidRPr="007461A7">
        <w:rPr>
          <w:sz w:val="22"/>
          <w:szCs w:val="22"/>
        </w:rPr>
        <w:t>водоспираща</w:t>
      </w:r>
      <w:proofErr w:type="spellEnd"/>
      <w:r w:rsidRPr="007461A7">
        <w:rPr>
          <w:sz w:val="22"/>
          <w:szCs w:val="22"/>
        </w:rPr>
        <w:t xml:space="preserve"> бетонова стена,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запълнение</w:t>
      </w:r>
      <w:proofErr w:type="spellEnd"/>
      <w:r w:rsidRPr="00A85E73">
        <w:rPr>
          <w:sz w:val="22"/>
          <w:szCs w:val="22"/>
        </w:rPr>
        <w:t>.</w:t>
      </w:r>
    </w:p>
    <w:p w:rsidR="0062603A" w:rsidRDefault="0062603A" w:rsidP="0062603A">
      <w:r>
        <w:t xml:space="preserve">Предвидените дейности в проектните решения са: </w:t>
      </w:r>
    </w:p>
    <w:p w:rsidR="0062603A" w:rsidRPr="00FC4136" w:rsidRDefault="0062603A" w:rsidP="0062603A">
      <w:pPr>
        <w:pStyle w:val="a5"/>
        <w:numPr>
          <w:ilvl w:val="0"/>
          <w:numId w:val="1"/>
        </w:numPr>
        <w:rPr>
          <w:lang w:val="ru-RU"/>
        </w:rPr>
      </w:pPr>
      <w:r w:rsidRPr="00FC4136">
        <w:rPr>
          <w:sz w:val="22"/>
          <w:szCs w:val="22"/>
        </w:rPr>
        <w:t>осигуряване достъп до устията на минните изработки;</w:t>
      </w:r>
    </w:p>
    <w:p w:rsidR="0062603A" w:rsidRPr="00FC4136" w:rsidRDefault="0062603A" w:rsidP="0062603A">
      <w:pPr>
        <w:pStyle w:val="a5"/>
        <w:numPr>
          <w:ilvl w:val="0"/>
          <w:numId w:val="1"/>
        </w:numPr>
        <w:rPr>
          <w:lang w:val="ru-RU"/>
        </w:rPr>
      </w:pPr>
      <w:r>
        <w:rPr>
          <w:sz w:val="22"/>
          <w:szCs w:val="22"/>
        </w:rPr>
        <w:t>по</w:t>
      </w:r>
      <w:r w:rsidRPr="00FC4136">
        <w:rPr>
          <w:sz w:val="22"/>
          <w:szCs w:val="22"/>
        </w:rPr>
        <w:t>чистване на работната площадка</w:t>
      </w:r>
      <w:r>
        <w:rPr>
          <w:sz w:val="22"/>
          <w:szCs w:val="22"/>
        </w:rPr>
        <w:t xml:space="preserve"> – </w:t>
      </w:r>
      <w:r>
        <w:rPr>
          <w:bCs/>
        </w:rPr>
        <w:t xml:space="preserve">извършва се с цел разкриване пълното сечение на минните изработки, за да се осигури стабилна основа на последващото изграждане на </w:t>
      </w:r>
      <w:proofErr w:type="spellStart"/>
      <w:r>
        <w:rPr>
          <w:bCs/>
        </w:rPr>
        <w:t>водоотливни</w:t>
      </w:r>
      <w:proofErr w:type="spellEnd"/>
      <w:r>
        <w:rPr>
          <w:bCs/>
        </w:rPr>
        <w:t xml:space="preserve"> съоръжения и/или  запълване с втвърдяващо </w:t>
      </w:r>
      <w:proofErr w:type="spellStart"/>
      <w:r>
        <w:rPr>
          <w:bCs/>
        </w:rPr>
        <w:t>запълнение</w:t>
      </w:r>
      <w:proofErr w:type="spellEnd"/>
      <w:r>
        <w:rPr>
          <w:bCs/>
        </w:rPr>
        <w:t xml:space="preserve">. </w:t>
      </w:r>
      <w:r>
        <w:rPr>
          <w:sz w:val="22"/>
          <w:szCs w:val="22"/>
        </w:rPr>
        <w:t xml:space="preserve"> Работи се на  открито пред устията на минната изработка и в минната изработка до максимално навлизане до 40 </w:t>
      </w:r>
      <w:r>
        <w:rPr>
          <w:sz w:val="22"/>
          <w:szCs w:val="22"/>
          <w:lang w:val="en-US"/>
        </w:rPr>
        <w:t xml:space="preserve">m </w:t>
      </w:r>
      <w:r>
        <w:rPr>
          <w:sz w:val="22"/>
          <w:szCs w:val="22"/>
        </w:rPr>
        <w:t xml:space="preserve">навътре в нея. Почистването предвижда изкопни работи на земни/скални маси и подравняване (планиране) на терена.  Почистването ще се извършва по ръчен и механизиран способ </w:t>
      </w:r>
      <w:r w:rsidRPr="00FC4136">
        <w:rPr>
          <w:sz w:val="22"/>
          <w:szCs w:val="22"/>
        </w:rPr>
        <w:t>;</w:t>
      </w:r>
    </w:p>
    <w:p w:rsidR="0062603A" w:rsidRPr="00BF7055" w:rsidRDefault="0062603A" w:rsidP="0062603A">
      <w:pPr>
        <w:pStyle w:val="a5"/>
        <w:numPr>
          <w:ilvl w:val="0"/>
          <w:numId w:val="1"/>
        </w:numPr>
        <w:rPr>
          <w:lang w:val="ru-RU"/>
        </w:rPr>
      </w:pPr>
      <w:r w:rsidRPr="00BF7055">
        <w:rPr>
          <w:sz w:val="22"/>
          <w:szCs w:val="22"/>
        </w:rPr>
        <w:t xml:space="preserve">изграждане на ХТС съоръжения за контролиран </w:t>
      </w:r>
      <w:proofErr w:type="spellStart"/>
      <w:r w:rsidRPr="00BF7055">
        <w:rPr>
          <w:sz w:val="22"/>
          <w:szCs w:val="22"/>
        </w:rPr>
        <w:t>водоотлив</w:t>
      </w:r>
      <w:proofErr w:type="spellEnd"/>
      <w:r w:rsidRPr="00BF7055">
        <w:rPr>
          <w:sz w:val="22"/>
          <w:szCs w:val="22"/>
        </w:rPr>
        <w:t xml:space="preserve"> на руднични води- работи се на открито на площадката пред устието на минните изработки и в минната изработка (до 40 </w:t>
      </w:r>
      <w:r w:rsidRPr="00BF7055">
        <w:rPr>
          <w:sz w:val="22"/>
          <w:szCs w:val="22"/>
          <w:lang w:val="en-US"/>
        </w:rPr>
        <w:t>m)</w:t>
      </w:r>
      <w:r w:rsidRPr="00BF7055">
        <w:rPr>
          <w:sz w:val="22"/>
          <w:szCs w:val="22"/>
        </w:rPr>
        <w:t xml:space="preserve">. Предвиждат се изкопни работи,  полагане на дренажен тръбопровод и </w:t>
      </w:r>
      <w:r>
        <w:rPr>
          <w:sz w:val="22"/>
          <w:szCs w:val="22"/>
        </w:rPr>
        <w:t xml:space="preserve">изграждане на </w:t>
      </w:r>
      <w:proofErr w:type="spellStart"/>
      <w:r>
        <w:rPr>
          <w:sz w:val="22"/>
          <w:szCs w:val="22"/>
        </w:rPr>
        <w:t>водоотливни</w:t>
      </w:r>
      <w:proofErr w:type="spellEnd"/>
      <w:r>
        <w:rPr>
          <w:sz w:val="22"/>
          <w:szCs w:val="22"/>
        </w:rPr>
        <w:t xml:space="preserve"> </w:t>
      </w:r>
      <w:r w:rsidRPr="00BF7055">
        <w:rPr>
          <w:sz w:val="22"/>
          <w:szCs w:val="22"/>
        </w:rPr>
        <w:t>шахти</w:t>
      </w:r>
      <w:r>
        <w:rPr>
          <w:sz w:val="22"/>
          <w:szCs w:val="22"/>
        </w:rPr>
        <w:t xml:space="preserve">. Изграждане на ХТС съоръжение се </w:t>
      </w:r>
      <w:proofErr w:type="spellStart"/>
      <w:r>
        <w:rPr>
          <w:sz w:val="22"/>
          <w:szCs w:val="22"/>
        </w:rPr>
        <w:t>пердиждат</w:t>
      </w:r>
      <w:proofErr w:type="spellEnd"/>
      <w:r>
        <w:rPr>
          <w:sz w:val="22"/>
          <w:szCs w:val="22"/>
        </w:rPr>
        <w:t xml:space="preserve"> на подобектите; </w:t>
      </w:r>
      <w:proofErr w:type="spellStart"/>
      <w:r>
        <w:rPr>
          <w:sz w:val="22"/>
          <w:szCs w:val="22"/>
        </w:rPr>
        <w:t>Щолна</w:t>
      </w:r>
      <w:proofErr w:type="spellEnd"/>
      <w:r>
        <w:rPr>
          <w:sz w:val="22"/>
          <w:szCs w:val="22"/>
        </w:rPr>
        <w:t xml:space="preserve"> 3а, </w:t>
      </w:r>
      <w:proofErr w:type="spellStart"/>
      <w:r>
        <w:rPr>
          <w:sz w:val="22"/>
          <w:szCs w:val="22"/>
        </w:rPr>
        <w:t>Щолна</w:t>
      </w:r>
      <w:proofErr w:type="spellEnd"/>
      <w:r>
        <w:rPr>
          <w:sz w:val="22"/>
          <w:szCs w:val="22"/>
        </w:rPr>
        <w:t xml:space="preserve"> 4, </w:t>
      </w:r>
      <w:proofErr w:type="spellStart"/>
      <w:r>
        <w:rPr>
          <w:sz w:val="22"/>
          <w:szCs w:val="22"/>
        </w:rPr>
        <w:t>Щолна</w:t>
      </w:r>
      <w:proofErr w:type="spellEnd"/>
      <w:r>
        <w:rPr>
          <w:sz w:val="22"/>
          <w:szCs w:val="22"/>
        </w:rPr>
        <w:t xml:space="preserve"> 5 и </w:t>
      </w:r>
      <w:proofErr w:type="spellStart"/>
      <w:r>
        <w:rPr>
          <w:sz w:val="22"/>
          <w:szCs w:val="22"/>
        </w:rPr>
        <w:t>Щолна</w:t>
      </w:r>
      <w:proofErr w:type="spellEnd"/>
      <w:r>
        <w:rPr>
          <w:sz w:val="22"/>
          <w:szCs w:val="22"/>
        </w:rPr>
        <w:t xml:space="preserve"> 6. Максимално навлизане в минните изработки – до 40 </w:t>
      </w:r>
      <w:r>
        <w:rPr>
          <w:sz w:val="22"/>
          <w:szCs w:val="22"/>
          <w:lang w:val="en-US"/>
        </w:rPr>
        <w:t>m</w:t>
      </w:r>
      <w:r w:rsidRPr="00BF7055">
        <w:rPr>
          <w:sz w:val="22"/>
          <w:szCs w:val="22"/>
        </w:rPr>
        <w:t>;</w:t>
      </w:r>
    </w:p>
    <w:p w:rsidR="0062603A" w:rsidRPr="00FC4136" w:rsidRDefault="0062603A" w:rsidP="0062603A">
      <w:pPr>
        <w:pStyle w:val="a5"/>
        <w:numPr>
          <w:ilvl w:val="0"/>
          <w:numId w:val="1"/>
        </w:numPr>
        <w:rPr>
          <w:lang w:val="ru-RU"/>
        </w:rPr>
      </w:pPr>
      <w:r>
        <w:rPr>
          <w:sz w:val="22"/>
          <w:szCs w:val="22"/>
        </w:rPr>
        <w:t xml:space="preserve">ПВР (пробивно-взривни работи) – взривяват се устията на </w:t>
      </w:r>
      <w:proofErr w:type="spellStart"/>
      <w:r>
        <w:rPr>
          <w:sz w:val="22"/>
          <w:szCs w:val="22"/>
        </w:rPr>
        <w:t>щолните</w:t>
      </w:r>
      <w:proofErr w:type="spellEnd"/>
      <w:r>
        <w:rPr>
          <w:sz w:val="22"/>
          <w:szCs w:val="22"/>
        </w:rPr>
        <w:t xml:space="preserve"> </w:t>
      </w:r>
      <w:r w:rsidRPr="00FC4136">
        <w:rPr>
          <w:sz w:val="22"/>
          <w:szCs w:val="22"/>
        </w:rPr>
        <w:t xml:space="preserve">на определени </w:t>
      </w:r>
      <w:r>
        <w:rPr>
          <w:sz w:val="22"/>
          <w:szCs w:val="22"/>
        </w:rPr>
        <w:t xml:space="preserve">в работния проект </w:t>
      </w:r>
      <w:r w:rsidRPr="00FC4136">
        <w:rPr>
          <w:sz w:val="22"/>
          <w:szCs w:val="22"/>
        </w:rPr>
        <w:t>участъци</w:t>
      </w:r>
      <w:r>
        <w:rPr>
          <w:sz w:val="22"/>
          <w:szCs w:val="22"/>
        </w:rPr>
        <w:t xml:space="preserve">, </w:t>
      </w:r>
      <w:r w:rsidRPr="00FC41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максимално навлизане до 20 </w:t>
      </w:r>
      <w:r>
        <w:rPr>
          <w:sz w:val="22"/>
          <w:szCs w:val="22"/>
          <w:lang w:val="en-US"/>
        </w:rPr>
        <w:t xml:space="preserve">m 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щолните</w:t>
      </w:r>
      <w:proofErr w:type="spellEnd"/>
      <w:r>
        <w:rPr>
          <w:sz w:val="22"/>
          <w:szCs w:val="22"/>
        </w:rPr>
        <w:t xml:space="preserve">. </w:t>
      </w:r>
      <w:r w:rsidRPr="00FC4136">
        <w:rPr>
          <w:sz w:val="22"/>
          <w:szCs w:val="22"/>
        </w:rPr>
        <w:t xml:space="preserve">ПВР ще се провеждат на </w:t>
      </w:r>
      <w:r>
        <w:rPr>
          <w:sz w:val="22"/>
          <w:szCs w:val="22"/>
        </w:rPr>
        <w:t xml:space="preserve">подобекти </w:t>
      </w:r>
      <w:proofErr w:type="spellStart"/>
      <w:r>
        <w:rPr>
          <w:sz w:val="22"/>
          <w:szCs w:val="22"/>
        </w:rPr>
        <w:t>Шолна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  и </w:t>
      </w:r>
      <w:proofErr w:type="spellStart"/>
      <w:r>
        <w:rPr>
          <w:sz w:val="22"/>
          <w:szCs w:val="22"/>
        </w:rPr>
        <w:t>Щолна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>.;</w:t>
      </w:r>
    </w:p>
    <w:p w:rsidR="0062603A" w:rsidRDefault="0062603A" w:rsidP="0062603A">
      <w:pPr>
        <w:pStyle w:val="a5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затваряне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минните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изработки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запълване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втърдяващо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запълнение</w:t>
      </w:r>
      <w:proofErr w:type="spellEnd"/>
      <w:r>
        <w:rPr>
          <w:lang w:val="ru-RU"/>
        </w:rPr>
        <w:t>) –</w:t>
      </w:r>
      <w:r>
        <w:rPr>
          <w:lang w:val="en-US"/>
        </w:rPr>
        <w:t xml:space="preserve"> </w:t>
      </w:r>
      <w:r>
        <w:t xml:space="preserve">с цел изграждане на масивен участък, затрудняващ неконтролирано проникване в минните изработки се предвижда затваряне на минните </w:t>
      </w:r>
      <w:r>
        <w:lastRenderedPageBreak/>
        <w:t xml:space="preserve">изработки чрез запълването им с втърдяващо </w:t>
      </w:r>
      <w:proofErr w:type="spellStart"/>
      <w:r>
        <w:t>запълнение</w:t>
      </w:r>
      <w:proofErr w:type="spellEnd"/>
      <w:r>
        <w:t xml:space="preserve">. Запълването е от устията до взривения материал (за </w:t>
      </w:r>
      <w:proofErr w:type="spellStart"/>
      <w:r>
        <w:t>щолните</w:t>
      </w:r>
      <w:proofErr w:type="spellEnd"/>
      <w:r>
        <w:t xml:space="preserve"> в които се извършват ПВР) и от устията до максимално 13 </w:t>
      </w:r>
      <w:r>
        <w:rPr>
          <w:lang w:val="en-US"/>
        </w:rPr>
        <w:t xml:space="preserve">m </w:t>
      </w:r>
      <w:r>
        <w:t xml:space="preserve">навътре в </w:t>
      </w:r>
      <w:proofErr w:type="spellStart"/>
      <w:r>
        <w:t>щолните</w:t>
      </w:r>
      <w:proofErr w:type="spellEnd"/>
      <w:r>
        <w:t xml:space="preserve">, за които не са предвидени ПВР. Проектните решения предвиждат запълването да става с ръчен труд и </w:t>
      </w:r>
      <w:proofErr w:type="spellStart"/>
      <w:r>
        <w:t>механозирано</w:t>
      </w:r>
      <w:proofErr w:type="spellEnd"/>
      <w:r>
        <w:t xml:space="preserve"> с помощта на малогабаритна техника</w:t>
      </w:r>
      <w:r>
        <w:rPr>
          <w:lang w:val="ru-RU"/>
        </w:rPr>
        <w:t>;</w:t>
      </w:r>
    </w:p>
    <w:p w:rsidR="0062603A" w:rsidRPr="004E55BD" w:rsidRDefault="0062603A" w:rsidP="0062603A">
      <w:pPr>
        <w:pStyle w:val="a5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изграждане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бетонова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преградна</w:t>
      </w:r>
      <w:proofErr w:type="spellEnd"/>
      <w:r>
        <w:rPr>
          <w:lang w:val="ru-RU"/>
        </w:rPr>
        <w:t xml:space="preserve"> стена при </w:t>
      </w:r>
      <w:proofErr w:type="spellStart"/>
      <w:r>
        <w:rPr>
          <w:lang w:val="ru-RU"/>
        </w:rPr>
        <w:t>устието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щолните</w:t>
      </w:r>
      <w:proofErr w:type="spellEnd"/>
      <w:r>
        <w:rPr>
          <w:lang w:val="ru-RU"/>
        </w:rPr>
        <w:t xml:space="preserve"> – част от </w:t>
      </w:r>
      <w:proofErr w:type="spellStart"/>
      <w:r>
        <w:rPr>
          <w:lang w:val="ru-RU"/>
        </w:rPr>
        <w:t>дейностите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изпълняват</w:t>
      </w:r>
      <w:proofErr w:type="spellEnd"/>
      <w:r>
        <w:rPr>
          <w:lang w:val="ru-RU"/>
        </w:rPr>
        <w:t xml:space="preserve"> се с </w:t>
      </w:r>
      <w:proofErr w:type="spellStart"/>
      <w:r>
        <w:rPr>
          <w:lang w:val="ru-RU"/>
        </w:rPr>
        <w:t>помошта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 механизация</w:t>
      </w:r>
      <w:proofErr w:type="gramEnd"/>
      <w:r>
        <w:rPr>
          <w:lang w:val="ru-RU"/>
        </w:rPr>
        <w:t xml:space="preserve">, а друга </w:t>
      </w:r>
      <w:proofErr w:type="spellStart"/>
      <w:r>
        <w:rPr>
          <w:lang w:val="ru-RU"/>
        </w:rPr>
        <w:t>ръчно</w:t>
      </w:r>
      <w:proofErr w:type="spellEnd"/>
      <w:r>
        <w:rPr>
          <w:lang w:val="ru-RU"/>
        </w:rPr>
        <w:t xml:space="preserve">; </w:t>
      </w:r>
    </w:p>
    <w:p w:rsidR="0062603A" w:rsidRPr="00AF6EB0" w:rsidRDefault="0062603A" w:rsidP="0062603A">
      <w:pPr>
        <w:pStyle w:val="a5"/>
        <w:numPr>
          <w:ilvl w:val="0"/>
          <w:numId w:val="1"/>
        </w:numPr>
        <w:rPr>
          <w:lang w:val="ru-RU"/>
        </w:rPr>
      </w:pPr>
      <w:r>
        <w:rPr>
          <w:sz w:val="22"/>
          <w:szCs w:val="22"/>
        </w:rPr>
        <w:t>приобщаване към околния терен - о</w:t>
      </w:r>
      <w:r w:rsidRPr="00FC4136">
        <w:rPr>
          <w:sz w:val="22"/>
          <w:szCs w:val="22"/>
        </w:rPr>
        <w:t xml:space="preserve">формяне на взривния куп и </w:t>
      </w:r>
      <w:proofErr w:type="spellStart"/>
      <w:r w:rsidRPr="00FC4136">
        <w:rPr>
          <w:sz w:val="22"/>
          <w:szCs w:val="22"/>
        </w:rPr>
        <w:t>дозасипване</w:t>
      </w:r>
      <w:proofErr w:type="spellEnd"/>
      <w:r w:rsidRPr="00FC4136">
        <w:rPr>
          <w:sz w:val="22"/>
          <w:szCs w:val="22"/>
        </w:rPr>
        <w:t xml:space="preserve"> на устието</w:t>
      </w:r>
      <w:r>
        <w:rPr>
          <w:sz w:val="22"/>
          <w:szCs w:val="22"/>
        </w:rPr>
        <w:t xml:space="preserve"> със скална маса</w:t>
      </w:r>
      <w:r w:rsidRPr="00FC413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C41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Предвижда се най-горния слой при приобщаването да се положи от стерилни земни маси  с дебелина 0.3 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</w:rPr>
        <w:t>. По-голямата част от дейностите се изпълняват с помощта на механизация.</w:t>
      </w:r>
    </w:p>
    <w:p w:rsidR="0062603A" w:rsidRDefault="0062603A" w:rsidP="0062603A">
      <w:r w:rsidRPr="00DB6732">
        <w:t xml:space="preserve">Материалът при почистването  </w:t>
      </w:r>
      <w:r>
        <w:t xml:space="preserve">ще </w:t>
      </w:r>
      <w:r w:rsidRPr="00DB6732">
        <w:t xml:space="preserve">се  селектира на отделни купове в зависимост от степента на стойностите на мощността на дозата </w:t>
      </w:r>
      <w:r>
        <w:t xml:space="preserve">външно </w:t>
      </w:r>
      <w:r w:rsidRPr="00DB6732">
        <w:t>гама-лъчение (с провеждане на радиационен контрол при почистването</w:t>
      </w:r>
      <w:r>
        <w:t>/изкопни работи</w:t>
      </w:r>
      <w:r w:rsidRPr="00DB6732">
        <w:t>).</w:t>
      </w:r>
    </w:p>
    <w:p w:rsidR="0062603A" w:rsidRDefault="0062603A" w:rsidP="0062603A">
      <w:r>
        <w:t xml:space="preserve">Запълването става с материал от почистването и допълнително доставен материал от скални и земни маси. </w:t>
      </w:r>
      <w:r w:rsidRPr="00DB6732">
        <w:t>Материалите с повишени стойности на мощността на дозата</w:t>
      </w:r>
      <w:r>
        <w:t xml:space="preserve"> външно </w:t>
      </w:r>
      <w:r w:rsidRPr="00DB6732">
        <w:t xml:space="preserve"> гама-лъчение</w:t>
      </w:r>
      <w:r>
        <w:t xml:space="preserve"> от селектираните при почистването материали</w:t>
      </w:r>
      <w:r w:rsidRPr="00DB6732">
        <w:t xml:space="preserve"> се полагат обратно при </w:t>
      </w:r>
      <w:proofErr w:type="spellStart"/>
      <w:r w:rsidRPr="00DB6732">
        <w:t>запълнението</w:t>
      </w:r>
      <w:proofErr w:type="spellEnd"/>
      <w:r w:rsidRPr="00DB6732">
        <w:t xml:space="preserve"> в по-</w:t>
      </w:r>
      <w:r>
        <w:t xml:space="preserve">отдалечените от устията участъци на минните изработки. </w:t>
      </w:r>
      <w:r w:rsidRPr="00047888">
        <w:t xml:space="preserve"> </w:t>
      </w:r>
      <w:r>
        <w:t xml:space="preserve">В случай, че допълнително доставения материал е от околните </w:t>
      </w:r>
      <w:proofErr w:type="spellStart"/>
      <w:r>
        <w:t>нерекултивирани</w:t>
      </w:r>
      <w:proofErr w:type="spellEnd"/>
      <w:r>
        <w:t xml:space="preserve"> табани и/или кариери, се предвижда радиационен контрол при изкопаването им от табаните. </w:t>
      </w:r>
    </w:p>
    <w:p w:rsidR="0062603A" w:rsidRPr="006F6F24" w:rsidRDefault="0062603A" w:rsidP="0062603A">
      <w:pPr>
        <w:rPr>
          <w:b/>
        </w:rPr>
      </w:pPr>
      <w:r>
        <w:rPr>
          <w:b/>
        </w:rPr>
        <w:t xml:space="preserve">! </w:t>
      </w:r>
      <w:r w:rsidRPr="006F6F24">
        <w:rPr>
          <w:b/>
        </w:rPr>
        <w:t xml:space="preserve">Не се допуска изземване на скален материал от </w:t>
      </w:r>
      <w:proofErr w:type="spellStart"/>
      <w:r w:rsidRPr="006F6F24">
        <w:rPr>
          <w:b/>
        </w:rPr>
        <w:t>рекултивирани</w:t>
      </w:r>
      <w:proofErr w:type="spellEnd"/>
      <w:r>
        <w:rPr>
          <w:b/>
        </w:rPr>
        <w:t xml:space="preserve"> </w:t>
      </w:r>
      <w:r w:rsidRPr="006F6F24">
        <w:rPr>
          <w:b/>
        </w:rPr>
        <w:t>табани</w:t>
      </w:r>
      <w:r>
        <w:rPr>
          <w:b/>
        </w:rPr>
        <w:t xml:space="preserve"> и </w:t>
      </w:r>
      <w:proofErr w:type="spellStart"/>
      <w:r>
        <w:rPr>
          <w:b/>
        </w:rPr>
        <w:t>насипища</w:t>
      </w:r>
      <w:proofErr w:type="spellEnd"/>
      <w:r>
        <w:rPr>
          <w:b/>
        </w:rPr>
        <w:t xml:space="preserve"> и/или с повишени стойност (над нормативно допустимата) на </w:t>
      </w:r>
      <w:r w:rsidRPr="006F6F24">
        <w:rPr>
          <w:b/>
        </w:rPr>
        <w:t xml:space="preserve"> </w:t>
      </w:r>
      <w:r>
        <w:rPr>
          <w:b/>
        </w:rPr>
        <w:t>мощността на дозата гама-лъчение</w:t>
      </w:r>
      <w:r w:rsidRPr="006F6F24">
        <w:rPr>
          <w:b/>
        </w:rPr>
        <w:t>.</w:t>
      </w:r>
    </w:p>
    <w:p w:rsidR="0062603A" w:rsidRDefault="0062603A" w:rsidP="0062603A">
      <w:pPr>
        <w:pStyle w:val="2"/>
        <w:rPr>
          <w:lang w:val="ru-RU"/>
        </w:rPr>
      </w:pPr>
      <w:bookmarkStart w:id="15" w:name="_Toc437196611"/>
      <w:r>
        <w:rPr>
          <w:lang w:val="en-US"/>
        </w:rPr>
        <w:t>4</w:t>
      </w:r>
      <w:r>
        <w:rPr>
          <w:lang w:val="ru-RU"/>
        </w:rPr>
        <w:t xml:space="preserve">.2. Описание на </w:t>
      </w:r>
      <w:proofErr w:type="spellStart"/>
      <w:r>
        <w:rPr>
          <w:lang w:val="ru-RU"/>
        </w:rPr>
        <w:t>радиационната</w:t>
      </w:r>
      <w:proofErr w:type="spellEnd"/>
      <w:r>
        <w:rPr>
          <w:lang w:val="ru-RU"/>
        </w:rPr>
        <w:t xml:space="preserve"> обстановка</w:t>
      </w:r>
      <w:bookmarkEnd w:id="15"/>
    </w:p>
    <w:p w:rsidR="0062603A" w:rsidRDefault="0062603A" w:rsidP="0062603A">
      <w:pPr>
        <w:ind w:firstLine="720"/>
      </w:pPr>
      <w:proofErr w:type="spellStart"/>
      <w:r w:rsidRPr="002D37C4">
        <w:rPr>
          <w:lang w:val="ru-RU"/>
        </w:rPr>
        <w:t>Възможното</w:t>
      </w:r>
      <w:proofErr w:type="spellEnd"/>
      <w:r w:rsidRPr="002D37C4">
        <w:rPr>
          <w:lang w:val="ru-RU"/>
        </w:rPr>
        <w:t xml:space="preserve"> радиоактивно </w:t>
      </w:r>
      <w:proofErr w:type="spellStart"/>
      <w:r w:rsidRPr="002D37C4">
        <w:rPr>
          <w:lang w:val="ru-RU"/>
        </w:rPr>
        <w:t>замърсяване</w:t>
      </w:r>
      <w:proofErr w:type="spellEnd"/>
      <w:r w:rsidRPr="002D37C4">
        <w:rPr>
          <w:lang w:val="ru-RU"/>
        </w:rPr>
        <w:t xml:space="preserve"> на </w:t>
      </w:r>
      <w:proofErr w:type="spellStart"/>
      <w:r w:rsidRPr="002D37C4">
        <w:rPr>
          <w:lang w:val="ru-RU"/>
        </w:rPr>
        <w:t>повърхността</w:t>
      </w:r>
      <w:proofErr w:type="spellEnd"/>
      <w:r w:rsidRPr="002D37C4">
        <w:rPr>
          <w:lang w:val="ru-RU"/>
        </w:rPr>
        <w:t xml:space="preserve"> на </w:t>
      </w:r>
      <w:proofErr w:type="spellStart"/>
      <w:r w:rsidRPr="002D37C4">
        <w:rPr>
          <w:lang w:val="ru-RU"/>
        </w:rPr>
        <w:t>промишлените</w:t>
      </w:r>
      <w:proofErr w:type="spellEnd"/>
      <w:r w:rsidRPr="002D37C4">
        <w:rPr>
          <w:lang w:val="ru-RU"/>
        </w:rPr>
        <w:t xml:space="preserve"> </w:t>
      </w:r>
      <w:proofErr w:type="gramStart"/>
      <w:r w:rsidRPr="002D37C4">
        <w:rPr>
          <w:lang w:val="ru-RU"/>
        </w:rPr>
        <w:t xml:space="preserve">площадки </w:t>
      </w:r>
      <w:r>
        <w:rPr>
          <w:lang w:val="ru-RU"/>
        </w:rPr>
        <w:t xml:space="preserve"> и</w:t>
      </w:r>
      <w:proofErr w:type="gramEnd"/>
      <w:r>
        <w:rPr>
          <w:lang w:val="ru-RU"/>
        </w:rPr>
        <w:t xml:space="preserve"> в </w:t>
      </w:r>
      <w:proofErr w:type="spellStart"/>
      <w:r>
        <w:rPr>
          <w:lang w:val="ru-RU"/>
        </w:rPr>
        <w:t>минните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изработки</w:t>
      </w:r>
      <w:proofErr w:type="spellEnd"/>
      <w:r>
        <w:rPr>
          <w:lang w:val="ru-RU"/>
        </w:rPr>
        <w:t xml:space="preserve"> </w:t>
      </w:r>
      <w:r w:rsidRPr="002D37C4">
        <w:rPr>
          <w:lang w:val="ru-RU"/>
        </w:rPr>
        <w:t xml:space="preserve">на </w:t>
      </w:r>
      <w:proofErr w:type="spellStart"/>
      <w:r w:rsidRPr="002D37C4">
        <w:rPr>
          <w:lang w:val="ru-RU"/>
        </w:rPr>
        <w:t>обектите</w:t>
      </w:r>
      <w:proofErr w:type="spellEnd"/>
      <w:r w:rsidRPr="002D37C4">
        <w:rPr>
          <w:lang w:val="ru-RU"/>
        </w:rPr>
        <w:t xml:space="preserve"> от </w:t>
      </w:r>
      <w:proofErr w:type="spellStart"/>
      <w:r w:rsidRPr="002D37C4">
        <w:rPr>
          <w:lang w:val="ru-RU"/>
        </w:rPr>
        <w:t>бившия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уранодобив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са</w:t>
      </w:r>
      <w:proofErr w:type="spellEnd"/>
      <w:r w:rsidRPr="002D37C4">
        <w:rPr>
          <w:lang w:val="ru-RU"/>
        </w:rPr>
        <w:t xml:space="preserve"> от </w:t>
      </w:r>
      <w:proofErr w:type="spellStart"/>
      <w:r w:rsidRPr="002D37C4">
        <w:rPr>
          <w:lang w:val="ru-RU"/>
        </w:rPr>
        <w:t>руден</w:t>
      </w:r>
      <w:proofErr w:type="spellEnd"/>
      <w:r w:rsidRPr="002D37C4">
        <w:rPr>
          <w:lang w:val="ru-RU"/>
        </w:rPr>
        <w:t xml:space="preserve"> материал </w:t>
      </w:r>
      <w:proofErr w:type="spellStart"/>
      <w:r w:rsidRPr="002D37C4">
        <w:rPr>
          <w:lang w:val="ru-RU"/>
        </w:rPr>
        <w:t>изнесен</w:t>
      </w:r>
      <w:proofErr w:type="spellEnd"/>
      <w:r w:rsidRPr="002D37C4">
        <w:rPr>
          <w:lang w:val="ru-RU"/>
        </w:rPr>
        <w:t xml:space="preserve"> при </w:t>
      </w:r>
      <w:proofErr w:type="spellStart"/>
      <w:r w:rsidRPr="002D37C4">
        <w:rPr>
          <w:lang w:val="ru-RU"/>
        </w:rPr>
        <w:t>дейностите</w:t>
      </w:r>
      <w:proofErr w:type="spellEnd"/>
      <w:r w:rsidRPr="002D37C4">
        <w:rPr>
          <w:lang w:val="ru-RU"/>
        </w:rPr>
        <w:t xml:space="preserve"> по </w:t>
      </w:r>
      <w:proofErr w:type="spellStart"/>
      <w:r w:rsidRPr="002D37C4">
        <w:rPr>
          <w:lang w:val="ru-RU"/>
        </w:rPr>
        <w:t>добива</w:t>
      </w:r>
      <w:proofErr w:type="spellEnd"/>
      <w:r w:rsidRPr="002D37C4">
        <w:rPr>
          <w:lang w:val="ru-RU"/>
        </w:rPr>
        <w:t xml:space="preserve">, </w:t>
      </w:r>
      <w:proofErr w:type="spellStart"/>
      <w:r w:rsidRPr="002D37C4">
        <w:rPr>
          <w:lang w:val="ru-RU"/>
        </w:rPr>
        <w:t>съдържащ</w:t>
      </w:r>
      <w:proofErr w:type="spellEnd"/>
      <w:r w:rsidRPr="002D37C4">
        <w:rPr>
          <w:lang w:val="ru-RU"/>
        </w:rPr>
        <w:t xml:space="preserve"> уран и </w:t>
      </w:r>
      <w:proofErr w:type="spellStart"/>
      <w:r w:rsidRPr="002D37C4">
        <w:rPr>
          <w:lang w:val="ru-RU"/>
        </w:rPr>
        <w:t>продуктите</w:t>
      </w:r>
      <w:proofErr w:type="spellEnd"/>
      <w:r w:rsidRPr="002D37C4">
        <w:rPr>
          <w:lang w:val="ru-RU"/>
        </w:rPr>
        <w:t xml:space="preserve"> на </w:t>
      </w:r>
      <w:proofErr w:type="spellStart"/>
      <w:r w:rsidRPr="002D37C4">
        <w:rPr>
          <w:lang w:val="ru-RU"/>
        </w:rPr>
        <w:t>неговия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разпад</w:t>
      </w:r>
      <w:proofErr w:type="spellEnd"/>
      <w:r w:rsidRPr="002D37C4">
        <w:rPr>
          <w:lang w:val="ru-RU"/>
        </w:rPr>
        <w:t xml:space="preserve"> </w:t>
      </w:r>
      <w:r w:rsidRPr="00727CD9">
        <w:rPr>
          <w:lang w:val="ru-RU"/>
        </w:rPr>
        <w:t>(</w:t>
      </w:r>
      <w:proofErr w:type="spellStart"/>
      <w:r w:rsidRPr="00727CD9">
        <w:rPr>
          <w:lang w:val="ru-RU"/>
        </w:rPr>
        <w:t>Радионуклиди</w:t>
      </w:r>
      <w:proofErr w:type="spellEnd"/>
      <w:r w:rsidRPr="00727CD9">
        <w:rPr>
          <w:lang w:val="ru-RU"/>
        </w:rPr>
        <w:t xml:space="preserve"> от уран-</w:t>
      </w:r>
      <w:proofErr w:type="spellStart"/>
      <w:r w:rsidRPr="00727CD9">
        <w:rPr>
          <w:lang w:val="ru-RU"/>
        </w:rPr>
        <w:t>радиевия</w:t>
      </w:r>
      <w:proofErr w:type="spellEnd"/>
      <w:r w:rsidRPr="00727CD9">
        <w:rPr>
          <w:lang w:val="ru-RU"/>
        </w:rPr>
        <w:t xml:space="preserve"> </w:t>
      </w:r>
      <w:proofErr w:type="spellStart"/>
      <w:r w:rsidRPr="00727CD9">
        <w:rPr>
          <w:lang w:val="ru-RU"/>
        </w:rPr>
        <w:t>ред</w:t>
      </w:r>
      <w:proofErr w:type="spellEnd"/>
      <w:r w:rsidRPr="00727CD9">
        <w:rPr>
          <w:lang w:val="ru-RU"/>
        </w:rPr>
        <w:t xml:space="preserve">), </w:t>
      </w:r>
      <w:r w:rsidRPr="00727CD9">
        <w:t xml:space="preserve">както и изтичащите руднични води от </w:t>
      </w:r>
      <w:r>
        <w:t>минните изработки (</w:t>
      </w:r>
      <w:proofErr w:type="spellStart"/>
      <w:r w:rsidRPr="00727CD9">
        <w:t>щолните</w:t>
      </w:r>
      <w:proofErr w:type="spellEnd"/>
      <w:r>
        <w:t>)</w:t>
      </w:r>
      <w:r w:rsidRPr="00727CD9">
        <w:t>.</w:t>
      </w:r>
    </w:p>
    <w:p w:rsidR="0062603A" w:rsidRDefault="0062603A" w:rsidP="0062603A">
      <w:pPr>
        <w:ind w:firstLine="720"/>
      </w:pPr>
      <w:r>
        <w:rPr>
          <w:lang w:val="ru-RU"/>
        </w:rPr>
        <w:t xml:space="preserve">За </w:t>
      </w:r>
      <w:proofErr w:type="spellStart"/>
      <w:r>
        <w:rPr>
          <w:lang w:val="ru-RU"/>
        </w:rPr>
        <w:t>подобектите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участък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Пробойница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изготвена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Радиологична</w:t>
      </w:r>
      <w:proofErr w:type="spellEnd"/>
      <w:r>
        <w:rPr>
          <w:lang w:val="ru-RU"/>
        </w:rPr>
        <w:t xml:space="preserve"> оценка и прогноза за </w:t>
      </w:r>
      <w:proofErr w:type="spellStart"/>
      <w:r>
        <w:rPr>
          <w:lang w:val="ru-RU"/>
        </w:rPr>
        <w:t>състоянието</w:t>
      </w:r>
      <w:proofErr w:type="spellEnd"/>
      <w:r>
        <w:rPr>
          <w:lang w:val="ru-RU"/>
        </w:rPr>
        <w:t xml:space="preserve"> на табаните и </w:t>
      </w:r>
      <w:proofErr w:type="spellStart"/>
      <w:r>
        <w:rPr>
          <w:lang w:val="ru-RU"/>
        </w:rPr>
        <w:t>промишлените</w:t>
      </w:r>
      <w:proofErr w:type="spellEnd"/>
      <w:r>
        <w:rPr>
          <w:lang w:val="ru-RU"/>
        </w:rPr>
        <w:t xml:space="preserve"> площадки на «Балкан» ЕООД, 1993 г., Арх. №43.1 (от архива на «</w:t>
      </w:r>
      <w:proofErr w:type="spellStart"/>
      <w:r>
        <w:rPr>
          <w:lang w:val="ru-RU"/>
        </w:rPr>
        <w:t>Екоинженеринг</w:t>
      </w:r>
      <w:proofErr w:type="spellEnd"/>
      <w:r>
        <w:rPr>
          <w:lang w:val="ru-RU"/>
        </w:rPr>
        <w:t xml:space="preserve"> – РМ» </w:t>
      </w:r>
      <w:proofErr w:type="gramStart"/>
      <w:r>
        <w:rPr>
          <w:lang w:val="ru-RU"/>
        </w:rPr>
        <w:t>ЕООД  (</w:t>
      </w:r>
      <w:proofErr w:type="gramEnd"/>
      <w:r>
        <w:rPr>
          <w:lang w:val="ru-RU"/>
        </w:rPr>
        <w:t xml:space="preserve">РЕОП, 1993 г). </w:t>
      </w:r>
      <w:proofErr w:type="spellStart"/>
      <w:r>
        <w:rPr>
          <w:lang w:val="ru-RU"/>
        </w:rPr>
        <w:t>Обследвани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минни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изработки</w:t>
      </w:r>
      <w:proofErr w:type="spellEnd"/>
      <w:r>
        <w:rPr>
          <w:lang w:val="ru-RU"/>
        </w:rPr>
        <w:t xml:space="preserve">, предмет на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проект. В РЕОП, 1993 г,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за гама-фон на </w:t>
      </w:r>
      <w:proofErr w:type="spellStart"/>
      <w:r>
        <w:rPr>
          <w:lang w:val="ru-RU"/>
        </w:rPr>
        <w:t>терените</w:t>
      </w:r>
      <w:proofErr w:type="spellEnd"/>
      <w:r>
        <w:rPr>
          <w:lang w:val="ru-RU"/>
        </w:rPr>
        <w:t xml:space="preserve"> около </w:t>
      </w:r>
      <w:proofErr w:type="spellStart"/>
      <w:r>
        <w:rPr>
          <w:lang w:val="ru-RU"/>
        </w:rPr>
        <w:t>минните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изработки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Най</w:t>
      </w:r>
      <w:proofErr w:type="spellEnd"/>
      <w:r>
        <w:rPr>
          <w:lang w:val="ru-RU"/>
        </w:rPr>
        <w:t xml:space="preserve">-висок гама-фон е </w:t>
      </w:r>
      <w:proofErr w:type="spellStart"/>
      <w:r>
        <w:rPr>
          <w:lang w:val="ru-RU"/>
        </w:rPr>
        <w:t>регистрирана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Щолна</w:t>
      </w:r>
      <w:proofErr w:type="spellEnd"/>
      <w:r>
        <w:rPr>
          <w:lang w:val="ru-RU"/>
        </w:rPr>
        <w:t xml:space="preserve"> 5, </w:t>
      </w:r>
      <w:proofErr w:type="spellStart"/>
      <w:r>
        <w:rPr>
          <w:lang w:val="ru-RU"/>
        </w:rPr>
        <w:t>участък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Хижата</w:t>
      </w:r>
      <w:proofErr w:type="spellEnd"/>
      <w:r>
        <w:rPr>
          <w:lang w:val="ru-RU"/>
        </w:rPr>
        <w:t xml:space="preserve">» (0.28-0.70 </w:t>
      </w:r>
      <w:r w:rsidRPr="00C31E86">
        <w:rPr>
          <w:lang w:val="en-US" w:eastAsia="bg-BG"/>
        </w:rPr>
        <w:t>µ</w:t>
      </w:r>
      <w:proofErr w:type="spellStart"/>
      <w:r w:rsidRPr="00C31E86">
        <w:rPr>
          <w:lang w:val="en-US" w:eastAsia="bg-BG"/>
        </w:rPr>
        <w:t>Sv</w:t>
      </w:r>
      <w:proofErr w:type="spellEnd"/>
      <w:r w:rsidRPr="00C31E86">
        <w:rPr>
          <w:lang w:val="en-US" w:eastAsia="bg-BG"/>
        </w:rPr>
        <w:t>/h</w:t>
      </w:r>
      <w:r>
        <w:rPr>
          <w:lang w:val="en-US"/>
        </w:rPr>
        <w:t xml:space="preserve">), </w:t>
      </w:r>
      <w:r>
        <w:t xml:space="preserve">най-нисък </w:t>
      </w:r>
      <w:proofErr w:type="gramStart"/>
      <w:r>
        <w:t>в района</w:t>
      </w:r>
      <w:proofErr w:type="gramEnd"/>
      <w:r>
        <w:t xml:space="preserve"> на Участък „Еленов дол“ (0.08-0.10 </w:t>
      </w:r>
      <w:r w:rsidRPr="00C31E86">
        <w:rPr>
          <w:lang w:val="en-US" w:eastAsia="bg-BG"/>
        </w:rPr>
        <w:t>µ</w:t>
      </w:r>
      <w:proofErr w:type="spellStart"/>
      <w:r w:rsidRPr="00C31E86">
        <w:rPr>
          <w:lang w:val="en-US" w:eastAsia="bg-BG"/>
        </w:rPr>
        <w:t>Sv</w:t>
      </w:r>
      <w:proofErr w:type="spellEnd"/>
      <w:r w:rsidRPr="00C31E86">
        <w:rPr>
          <w:lang w:val="en-US" w:eastAsia="bg-BG"/>
        </w:rPr>
        <w:t>/h</w:t>
      </w:r>
      <w:r>
        <w:t>).</w:t>
      </w:r>
    </w:p>
    <w:p w:rsidR="0062603A" w:rsidRPr="008974A4" w:rsidRDefault="0062603A" w:rsidP="0062603A">
      <w:pPr>
        <w:ind w:firstLine="720"/>
      </w:pPr>
      <w:r>
        <w:t>В цитираната по-горе „</w:t>
      </w:r>
      <w:proofErr w:type="spellStart"/>
      <w:r>
        <w:t>Радиоекологична</w:t>
      </w:r>
      <w:proofErr w:type="spellEnd"/>
      <w:r>
        <w:rPr>
          <w:lang w:val="en-US"/>
        </w:rPr>
        <w:t xml:space="preserve"> </w:t>
      </w:r>
      <w:r>
        <w:t>експертиза ….“  е измервано мощност на погълнатата доза гама-лъчение, като записите на мерните единици са  в „</w:t>
      </w:r>
      <w:r w:rsidRPr="00C31E86">
        <w:rPr>
          <w:lang w:val="en-US" w:eastAsia="bg-BG"/>
        </w:rPr>
        <w:t>µ</w:t>
      </w:r>
      <w:r>
        <w:rPr>
          <w:lang w:val="en-US" w:eastAsia="bg-BG"/>
        </w:rPr>
        <w:t>R</w:t>
      </w:r>
      <w:r w:rsidRPr="00C31E86">
        <w:rPr>
          <w:lang w:val="en-US" w:eastAsia="bg-BG"/>
        </w:rPr>
        <w:t>/h</w:t>
      </w:r>
      <w:r>
        <w:rPr>
          <w:lang w:eastAsia="bg-BG"/>
        </w:rPr>
        <w:t>“.</w:t>
      </w:r>
    </w:p>
    <w:p w:rsidR="0062603A" w:rsidRDefault="0062603A" w:rsidP="0062603A">
      <w:pPr>
        <w:ind w:firstLine="720"/>
        <w:rPr>
          <w:lang w:val="ru-RU"/>
        </w:rPr>
      </w:pPr>
      <w:r>
        <w:rPr>
          <w:lang w:val="ru-RU"/>
        </w:rPr>
        <w:t xml:space="preserve"> В </w:t>
      </w:r>
      <w:proofErr w:type="spellStart"/>
      <w:r>
        <w:rPr>
          <w:lang w:val="ru-RU"/>
        </w:rPr>
        <w:t>направените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</w:t>
      </w:r>
      <w:r w:rsidRPr="002D37C4">
        <w:rPr>
          <w:lang w:val="ru-RU"/>
        </w:rPr>
        <w:t>адиологични</w:t>
      </w:r>
      <w:proofErr w:type="spellEnd"/>
      <w:r w:rsidRPr="002D37C4">
        <w:rPr>
          <w:lang w:val="ru-RU"/>
        </w:rPr>
        <w:t xml:space="preserve"> оценки на радиоактивно </w:t>
      </w:r>
      <w:proofErr w:type="spellStart"/>
      <w:r>
        <w:rPr>
          <w:lang w:val="ru-RU"/>
        </w:rPr>
        <w:t>замърсяване</w:t>
      </w:r>
      <w:proofErr w:type="spellEnd"/>
      <w:r>
        <w:rPr>
          <w:lang w:val="ru-RU"/>
        </w:rPr>
        <w:t xml:space="preserve"> (РЕОП, 1993 г) е </w:t>
      </w:r>
      <w:proofErr w:type="spellStart"/>
      <w:r>
        <w:rPr>
          <w:lang w:val="ru-RU"/>
        </w:rPr>
        <w:t>отчетено</w:t>
      </w:r>
      <w:proofErr w:type="spellEnd"/>
      <w:r>
        <w:rPr>
          <w:lang w:val="ru-RU"/>
        </w:rPr>
        <w:t xml:space="preserve">, че </w:t>
      </w:r>
      <w:proofErr w:type="spellStart"/>
      <w:r>
        <w:rPr>
          <w:lang w:val="ru-RU"/>
        </w:rPr>
        <w:t>дренажните</w:t>
      </w:r>
      <w:proofErr w:type="spellEnd"/>
      <w:r>
        <w:rPr>
          <w:lang w:val="ru-RU"/>
        </w:rPr>
        <w:t xml:space="preserve"> води от </w:t>
      </w:r>
      <w:proofErr w:type="spellStart"/>
      <w:r>
        <w:rPr>
          <w:lang w:val="ru-RU"/>
        </w:rPr>
        <w:t>щолни</w:t>
      </w:r>
      <w:proofErr w:type="spellEnd"/>
      <w:r>
        <w:rPr>
          <w:lang w:val="ru-RU"/>
        </w:rPr>
        <w:t xml:space="preserve"> 4, и 3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с над ПДН (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тогава</w:t>
      </w:r>
      <w:proofErr w:type="spellEnd"/>
      <w:r>
        <w:rPr>
          <w:lang w:val="ru-RU"/>
        </w:rPr>
        <w:t xml:space="preserve"> БДС-2826 от 1983 г). </w:t>
      </w:r>
    </w:p>
    <w:p w:rsidR="0062603A" w:rsidRPr="00277AAD" w:rsidRDefault="0062603A" w:rsidP="0062603A">
      <w:pPr>
        <w:ind w:firstLine="720"/>
        <w:rPr>
          <w:lang w:val="en-US"/>
        </w:rPr>
      </w:pPr>
      <w:r>
        <w:rPr>
          <w:lang w:val="ru-RU"/>
        </w:rPr>
        <w:lastRenderedPageBreak/>
        <w:t xml:space="preserve">От </w:t>
      </w:r>
      <w:proofErr w:type="spellStart"/>
      <w:r>
        <w:rPr>
          <w:lang w:val="ru-RU"/>
        </w:rPr>
        <w:t>приложените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графични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материали</w:t>
      </w:r>
      <w:proofErr w:type="spellEnd"/>
      <w:r>
        <w:rPr>
          <w:lang w:val="ru-RU"/>
        </w:rPr>
        <w:t xml:space="preserve"> в РЕОП, 1993 г., за </w:t>
      </w:r>
      <w:proofErr w:type="spellStart"/>
      <w:r>
        <w:rPr>
          <w:lang w:val="ru-RU"/>
        </w:rPr>
        <w:t>измерените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мощността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дозата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външно</w:t>
      </w:r>
      <w:proofErr w:type="spellEnd"/>
      <w:r>
        <w:rPr>
          <w:lang w:val="ru-RU"/>
        </w:rPr>
        <w:t xml:space="preserve"> гама-</w:t>
      </w:r>
      <w:proofErr w:type="spellStart"/>
      <w:r>
        <w:rPr>
          <w:lang w:val="ru-RU"/>
        </w:rPr>
        <w:t>лъчение</w:t>
      </w:r>
      <w:proofErr w:type="spellEnd"/>
      <w:r>
        <w:rPr>
          <w:lang w:val="ru-RU"/>
        </w:rPr>
        <w:t xml:space="preserve"> на работните площадки пред </w:t>
      </w:r>
      <w:proofErr w:type="spellStart"/>
      <w:r>
        <w:rPr>
          <w:lang w:val="ru-RU"/>
        </w:rPr>
        <w:t>устията</w:t>
      </w:r>
      <w:proofErr w:type="spellEnd"/>
      <w:r>
        <w:rPr>
          <w:lang w:val="ru-RU"/>
        </w:rPr>
        <w:t xml:space="preserve"> на </w:t>
      </w:r>
      <w:proofErr w:type="spellStart"/>
      <w:proofErr w:type="gramStart"/>
      <w:r>
        <w:rPr>
          <w:lang w:val="ru-RU"/>
        </w:rPr>
        <w:t>щолните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стойности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надвишаваща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нормативните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наблюдават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отделни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петна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терена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табана</w:t>
      </w:r>
      <w:proofErr w:type="spellEnd"/>
      <w:r>
        <w:rPr>
          <w:lang w:val="ru-RU"/>
        </w:rPr>
        <w:t xml:space="preserve">) пред </w:t>
      </w:r>
      <w:proofErr w:type="spellStart"/>
      <w:r>
        <w:rPr>
          <w:lang w:val="ru-RU"/>
        </w:rPr>
        <w:t>Щолна</w:t>
      </w:r>
      <w:proofErr w:type="spellEnd"/>
      <w:r>
        <w:rPr>
          <w:lang w:val="ru-RU"/>
        </w:rPr>
        <w:t xml:space="preserve"> 4 и </w:t>
      </w:r>
      <w:proofErr w:type="spellStart"/>
      <w:r>
        <w:rPr>
          <w:lang w:val="ru-RU"/>
        </w:rPr>
        <w:t>Щолна</w:t>
      </w:r>
      <w:proofErr w:type="spellEnd"/>
      <w:r>
        <w:rPr>
          <w:lang w:val="ru-RU"/>
        </w:rPr>
        <w:t xml:space="preserve"> 5. </w:t>
      </w:r>
      <w:proofErr w:type="spellStart"/>
      <w:r>
        <w:rPr>
          <w:lang w:val="ru-RU"/>
        </w:rPr>
        <w:t>Такива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оконтурени</w:t>
      </w:r>
      <w:proofErr w:type="spellEnd"/>
      <w:r>
        <w:rPr>
          <w:lang w:val="ru-RU"/>
        </w:rPr>
        <w:t xml:space="preserve"> и на табаните на </w:t>
      </w:r>
      <w:proofErr w:type="spellStart"/>
      <w:r>
        <w:rPr>
          <w:lang w:val="ru-RU"/>
        </w:rPr>
        <w:t>щолна</w:t>
      </w:r>
      <w:proofErr w:type="spellEnd"/>
      <w:r>
        <w:rPr>
          <w:lang w:val="ru-RU"/>
        </w:rPr>
        <w:t xml:space="preserve"> 3а</w:t>
      </w:r>
      <w:r>
        <w:rPr>
          <w:lang w:val="en-US"/>
        </w:rPr>
        <w:t xml:space="preserve"> (</w:t>
      </w:r>
      <w:r>
        <w:t xml:space="preserve">на около 150 </w:t>
      </w:r>
      <w:r>
        <w:rPr>
          <w:lang w:val="en-US"/>
        </w:rPr>
        <w:t xml:space="preserve">m </w:t>
      </w:r>
      <w:r>
        <w:t xml:space="preserve">от устието на </w:t>
      </w:r>
      <w:proofErr w:type="spellStart"/>
      <w:r>
        <w:t>щолната</w:t>
      </w:r>
      <w:proofErr w:type="spellEnd"/>
      <w:r>
        <w:t>)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Щолна</w:t>
      </w:r>
      <w:proofErr w:type="spellEnd"/>
      <w:r>
        <w:rPr>
          <w:lang w:val="ru-RU"/>
        </w:rPr>
        <w:t xml:space="preserve"> 6.</w:t>
      </w:r>
    </w:p>
    <w:p w:rsidR="0062603A" w:rsidRDefault="0062603A" w:rsidP="0062603A">
      <w:pPr>
        <w:ind w:firstLine="720"/>
        <w:rPr>
          <w:lang w:val="ru-RU"/>
        </w:rPr>
      </w:pPr>
      <w:r>
        <w:rPr>
          <w:lang w:val="ru-RU"/>
        </w:rPr>
        <w:t xml:space="preserve">Не се </w:t>
      </w:r>
      <w:proofErr w:type="spellStart"/>
      <w:r>
        <w:rPr>
          <w:lang w:val="ru-RU"/>
        </w:rPr>
        <w:t>намират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за измерена </w:t>
      </w:r>
      <w:proofErr w:type="spellStart"/>
      <w:r>
        <w:rPr>
          <w:lang w:val="ru-RU"/>
        </w:rPr>
        <w:t>мощност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дозата</w:t>
      </w:r>
      <w:proofErr w:type="spellEnd"/>
      <w:r>
        <w:rPr>
          <w:lang w:val="ru-RU"/>
        </w:rPr>
        <w:t xml:space="preserve"> гама-</w:t>
      </w:r>
      <w:proofErr w:type="spellStart"/>
      <w:r>
        <w:rPr>
          <w:lang w:val="ru-RU"/>
        </w:rPr>
        <w:t>лъчение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вътре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щолните</w:t>
      </w:r>
      <w:proofErr w:type="spellEnd"/>
      <w:r>
        <w:rPr>
          <w:lang w:val="ru-RU"/>
        </w:rPr>
        <w:t>.</w:t>
      </w:r>
    </w:p>
    <w:p w:rsidR="0062603A" w:rsidRPr="002D37C4" w:rsidRDefault="0062603A" w:rsidP="0062603A">
      <w:pPr>
        <w:ind w:firstLine="720"/>
        <w:rPr>
          <w:lang w:val="ru-RU"/>
        </w:rPr>
      </w:pPr>
      <w:r>
        <w:rPr>
          <w:lang w:val="ru-RU"/>
        </w:rPr>
        <w:t>О</w:t>
      </w:r>
      <w:r w:rsidRPr="002D37C4">
        <w:rPr>
          <w:lang w:val="ru-RU"/>
        </w:rPr>
        <w:t xml:space="preserve">т </w:t>
      </w:r>
      <w:proofErr w:type="spellStart"/>
      <w:r w:rsidRPr="002D37C4">
        <w:rPr>
          <w:lang w:val="ru-RU"/>
        </w:rPr>
        <w:t>уранодобивна</w:t>
      </w:r>
      <w:proofErr w:type="spellEnd"/>
      <w:r w:rsidRPr="002D37C4">
        <w:rPr>
          <w:lang w:val="ru-RU"/>
        </w:rPr>
        <w:t xml:space="preserve"> и </w:t>
      </w:r>
      <w:proofErr w:type="spellStart"/>
      <w:r w:rsidRPr="002D37C4">
        <w:rPr>
          <w:lang w:val="ru-RU"/>
        </w:rPr>
        <w:t>уранопреработвателна</w:t>
      </w:r>
      <w:proofErr w:type="spellEnd"/>
      <w:r w:rsidRPr="002D37C4">
        <w:rPr>
          <w:lang w:val="ru-RU"/>
        </w:rPr>
        <w:t xml:space="preserve"> </w:t>
      </w:r>
      <w:proofErr w:type="spellStart"/>
      <w:proofErr w:type="gramStart"/>
      <w:r w:rsidRPr="002D37C4">
        <w:rPr>
          <w:lang w:val="ru-RU"/>
        </w:rPr>
        <w:t>дейност</w:t>
      </w:r>
      <w:proofErr w:type="spellEnd"/>
      <w:r w:rsidRPr="002D37C4">
        <w:rPr>
          <w:lang w:val="ru-RU"/>
        </w:rPr>
        <w:t xml:space="preserve">  е</w:t>
      </w:r>
      <w:proofErr w:type="gram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уста</w:t>
      </w:r>
      <w:r>
        <w:rPr>
          <w:lang w:val="ru-RU"/>
        </w:rPr>
        <w:t>новено</w:t>
      </w:r>
      <w:proofErr w:type="spellEnd"/>
      <w:r>
        <w:rPr>
          <w:lang w:val="ru-RU"/>
        </w:rPr>
        <w:t xml:space="preserve">, че </w:t>
      </w:r>
      <w:proofErr w:type="spellStart"/>
      <w:r w:rsidRPr="0093570A">
        <w:rPr>
          <w:lang w:val="ru-RU"/>
        </w:rPr>
        <w:t>основните</w:t>
      </w:r>
      <w:proofErr w:type="spellEnd"/>
      <w:r w:rsidRPr="0093570A">
        <w:rPr>
          <w:lang w:val="ru-RU"/>
        </w:rPr>
        <w:t xml:space="preserve"> </w:t>
      </w:r>
      <w:proofErr w:type="spellStart"/>
      <w:r w:rsidRPr="0093570A">
        <w:rPr>
          <w:lang w:val="ru-RU"/>
        </w:rPr>
        <w:t>радиоактивни</w:t>
      </w:r>
      <w:proofErr w:type="spellEnd"/>
      <w:r w:rsidRPr="0093570A">
        <w:rPr>
          <w:lang w:val="ru-RU"/>
        </w:rPr>
        <w:t xml:space="preserve"> </w:t>
      </w:r>
      <w:proofErr w:type="spellStart"/>
      <w:r w:rsidRPr="0093570A">
        <w:rPr>
          <w:lang w:val="ru-RU"/>
        </w:rPr>
        <w:t>замърсявания</w:t>
      </w:r>
      <w:proofErr w:type="spellEnd"/>
      <w:r w:rsidRPr="0093570A">
        <w:rPr>
          <w:lang w:val="ru-RU"/>
        </w:rPr>
        <w:t xml:space="preserve"> </w:t>
      </w:r>
      <w:proofErr w:type="spellStart"/>
      <w:r w:rsidRPr="0093570A">
        <w:rPr>
          <w:lang w:val="ru-RU"/>
        </w:rPr>
        <w:t>са</w:t>
      </w:r>
      <w:proofErr w:type="spellEnd"/>
      <w:r w:rsidRPr="0093570A">
        <w:rPr>
          <w:lang w:val="ru-RU"/>
        </w:rPr>
        <w:t xml:space="preserve"> от </w:t>
      </w:r>
      <w:proofErr w:type="spellStart"/>
      <w:r w:rsidRPr="0093570A">
        <w:rPr>
          <w:lang w:val="ru-RU"/>
        </w:rPr>
        <w:t>радионуклиди</w:t>
      </w:r>
      <w:proofErr w:type="spellEnd"/>
      <w:r w:rsidRPr="0093570A">
        <w:rPr>
          <w:lang w:val="ru-RU"/>
        </w:rPr>
        <w:t xml:space="preserve"> от уран-</w:t>
      </w:r>
      <w:proofErr w:type="spellStart"/>
      <w:r w:rsidRPr="0093570A">
        <w:rPr>
          <w:lang w:val="ru-RU"/>
        </w:rPr>
        <w:t>радиевия</w:t>
      </w:r>
      <w:proofErr w:type="spellEnd"/>
      <w:r w:rsidRPr="0093570A">
        <w:rPr>
          <w:lang w:val="ru-RU"/>
        </w:rPr>
        <w:t xml:space="preserve"> </w:t>
      </w:r>
      <w:proofErr w:type="spellStart"/>
      <w:r w:rsidRPr="0093570A">
        <w:rPr>
          <w:lang w:val="ru-RU"/>
        </w:rPr>
        <w:t>ред</w:t>
      </w:r>
      <w:proofErr w:type="spellEnd"/>
      <w:r w:rsidRPr="0093570A">
        <w:rPr>
          <w:lang w:val="ru-RU"/>
        </w:rPr>
        <w:t xml:space="preserve"> и </w:t>
      </w:r>
      <w:proofErr w:type="spellStart"/>
      <w:r w:rsidRPr="002D37C4">
        <w:rPr>
          <w:lang w:val="ru-RU"/>
        </w:rPr>
        <w:t>продуктите</w:t>
      </w:r>
      <w:proofErr w:type="spellEnd"/>
      <w:r w:rsidRPr="002D37C4">
        <w:rPr>
          <w:lang w:val="ru-RU"/>
        </w:rPr>
        <w:t xml:space="preserve"> на </w:t>
      </w:r>
      <w:proofErr w:type="spellStart"/>
      <w:r w:rsidRPr="002D37C4">
        <w:rPr>
          <w:lang w:val="ru-RU"/>
        </w:rPr>
        <w:t>разпад</w:t>
      </w:r>
      <w:proofErr w:type="spellEnd"/>
      <w:r w:rsidRPr="002D37C4">
        <w:rPr>
          <w:lang w:val="ru-RU"/>
        </w:rPr>
        <w:t xml:space="preserve">. </w:t>
      </w:r>
      <w:proofErr w:type="spellStart"/>
      <w:r w:rsidRPr="002D37C4">
        <w:rPr>
          <w:lang w:val="ru-RU"/>
        </w:rPr>
        <w:t>Установена</w:t>
      </w:r>
      <w:proofErr w:type="spellEnd"/>
      <w:r w:rsidRPr="002D37C4">
        <w:rPr>
          <w:lang w:val="ru-RU"/>
        </w:rPr>
        <w:t xml:space="preserve"> е </w:t>
      </w:r>
      <w:proofErr w:type="spellStart"/>
      <w:r w:rsidRPr="002D37C4">
        <w:rPr>
          <w:lang w:val="ru-RU"/>
        </w:rPr>
        <w:t>закономерност</w:t>
      </w:r>
      <w:proofErr w:type="spellEnd"/>
      <w:r w:rsidRPr="002D37C4">
        <w:rPr>
          <w:lang w:val="ru-RU"/>
        </w:rPr>
        <w:t xml:space="preserve">, че </w:t>
      </w:r>
      <w:proofErr w:type="spellStart"/>
      <w:r w:rsidRPr="002D37C4">
        <w:rPr>
          <w:lang w:val="ru-RU"/>
        </w:rPr>
        <w:t>по-високите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измерени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стойности</w:t>
      </w:r>
      <w:proofErr w:type="spellEnd"/>
      <w:r w:rsidRPr="002D37C4">
        <w:rPr>
          <w:lang w:val="ru-RU"/>
        </w:rPr>
        <w:t xml:space="preserve"> на </w:t>
      </w:r>
      <w:proofErr w:type="spellStart"/>
      <w:r w:rsidRPr="002D37C4">
        <w:rPr>
          <w:lang w:val="ru-RU"/>
        </w:rPr>
        <w:t>мощността</w:t>
      </w:r>
      <w:proofErr w:type="spellEnd"/>
      <w:r w:rsidRPr="002D37C4">
        <w:rPr>
          <w:lang w:val="ru-RU"/>
        </w:rPr>
        <w:t xml:space="preserve"> на </w:t>
      </w:r>
      <w:proofErr w:type="spellStart"/>
      <w:r w:rsidRPr="002D37C4">
        <w:rPr>
          <w:lang w:val="ru-RU"/>
        </w:rPr>
        <w:t>дозата</w:t>
      </w:r>
      <w:proofErr w:type="spellEnd"/>
      <w:r w:rsidRPr="002D37C4">
        <w:rPr>
          <w:lang w:val="ru-RU"/>
        </w:rPr>
        <w:t xml:space="preserve"> </w:t>
      </w:r>
      <w:proofErr w:type="spellStart"/>
      <w:r>
        <w:rPr>
          <w:lang w:val="ru-RU"/>
        </w:rPr>
        <w:t>външно</w:t>
      </w:r>
      <w:proofErr w:type="spellEnd"/>
      <w:r>
        <w:rPr>
          <w:lang w:val="ru-RU"/>
        </w:rPr>
        <w:t xml:space="preserve"> </w:t>
      </w:r>
      <w:r w:rsidRPr="002D37C4">
        <w:rPr>
          <w:lang w:val="ru-RU"/>
        </w:rPr>
        <w:t>гама-</w:t>
      </w:r>
      <w:proofErr w:type="spellStart"/>
      <w:r w:rsidRPr="002D37C4">
        <w:rPr>
          <w:lang w:val="ru-RU"/>
        </w:rPr>
        <w:t>лъчение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са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регистрирани</w:t>
      </w:r>
      <w:proofErr w:type="spellEnd"/>
      <w:r w:rsidRPr="002D37C4">
        <w:rPr>
          <w:lang w:val="ru-RU"/>
        </w:rPr>
        <w:t xml:space="preserve"> в </w:t>
      </w:r>
      <w:proofErr w:type="spellStart"/>
      <w:r w:rsidRPr="002D37C4">
        <w:rPr>
          <w:lang w:val="ru-RU"/>
        </w:rPr>
        <w:t>местата</w:t>
      </w:r>
      <w:proofErr w:type="spellEnd"/>
      <w:r w:rsidRPr="002D37C4">
        <w:rPr>
          <w:lang w:val="ru-RU"/>
        </w:rPr>
        <w:t xml:space="preserve"> с </w:t>
      </w:r>
      <w:proofErr w:type="spellStart"/>
      <w:r w:rsidRPr="002D37C4">
        <w:rPr>
          <w:lang w:val="ru-RU"/>
        </w:rPr>
        <w:t>по-високо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съдържание</w:t>
      </w:r>
      <w:proofErr w:type="spellEnd"/>
      <w:r w:rsidRPr="002D37C4">
        <w:rPr>
          <w:lang w:val="ru-RU"/>
        </w:rPr>
        <w:t xml:space="preserve"> на </w:t>
      </w:r>
      <w:proofErr w:type="spellStart"/>
      <w:r w:rsidRPr="002D37C4">
        <w:rPr>
          <w:lang w:val="ru-RU"/>
        </w:rPr>
        <w:t>руден</w:t>
      </w:r>
      <w:proofErr w:type="spellEnd"/>
      <w:r w:rsidRPr="002D37C4">
        <w:rPr>
          <w:lang w:val="ru-RU"/>
        </w:rPr>
        <w:t xml:space="preserve"> материал.</w:t>
      </w:r>
    </w:p>
    <w:p w:rsidR="0062603A" w:rsidRDefault="0062603A" w:rsidP="0062603A">
      <w:pPr>
        <w:ind w:firstLine="720"/>
      </w:pPr>
      <w:r w:rsidRPr="00FF79D3">
        <w:rPr>
          <w:bCs/>
          <w:szCs w:val="36"/>
        </w:rPr>
        <w:t>В</w:t>
      </w:r>
      <w:r>
        <w:rPr>
          <w:bCs/>
          <w:szCs w:val="36"/>
        </w:rPr>
        <w:t xml:space="preserve"> изпълнение на </w:t>
      </w:r>
      <w:r w:rsidRPr="00FF79D3">
        <w:rPr>
          <w:bCs/>
          <w:szCs w:val="36"/>
        </w:rPr>
        <w:t>ПОСТАНОВЛЕНИЕ № 74 на МС от 27.03.1998 г. за ликвидиране на последствията от добива и преработката на уранова суровина</w:t>
      </w:r>
      <w:r>
        <w:rPr>
          <w:bCs/>
          <w:szCs w:val="36"/>
        </w:rPr>
        <w:t xml:space="preserve"> (ПМС 74/1998)</w:t>
      </w:r>
      <w:r>
        <w:t>, на "</w:t>
      </w:r>
      <w:proofErr w:type="spellStart"/>
      <w:r>
        <w:t>Екоинженеринг</w:t>
      </w:r>
      <w:proofErr w:type="spellEnd"/>
      <w:r>
        <w:t xml:space="preserve">-РМ" ЕООД е възложено организацията и контрола на дейностите по техническата ликвидация, по техническата и биологичната рекултивация и мониторинг  на бившите </w:t>
      </w:r>
      <w:proofErr w:type="spellStart"/>
      <w:r>
        <w:t>уранодобивни</w:t>
      </w:r>
      <w:proofErr w:type="spellEnd"/>
      <w:r>
        <w:t xml:space="preserve"> обекти.</w:t>
      </w:r>
    </w:p>
    <w:p w:rsidR="0062603A" w:rsidRDefault="0062603A" w:rsidP="0062603A">
      <w:r>
        <w:t>От „</w:t>
      </w:r>
      <w:proofErr w:type="spellStart"/>
      <w:r>
        <w:t>Екоинженеринг</w:t>
      </w:r>
      <w:proofErr w:type="spellEnd"/>
      <w:r>
        <w:t>-РМ“ ЕООД се провежда мониторинг на руднични води, изтичащи от устията на участък „</w:t>
      </w:r>
      <w:proofErr w:type="spellStart"/>
      <w:r>
        <w:t>Пробойница</w:t>
      </w:r>
      <w:proofErr w:type="spellEnd"/>
      <w:r>
        <w:t xml:space="preserve">“ - </w:t>
      </w:r>
      <w:proofErr w:type="spellStart"/>
      <w:r>
        <w:t>щолни</w:t>
      </w:r>
      <w:proofErr w:type="spellEnd"/>
      <w:r>
        <w:t xml:space="preserve"> 3а и 4. Някои от резултатите от изпитванията на водните проби са показани в таблица 1.</w:t>
      </w:r>
    </w:p>
    <w:p w:rsidR="0062603A" w:rsidRDefault="0062603A" w:rsidP="0062603A">
      <w:pPr>
        <w:ind w:firstLine="0"/>
      </w:pPr>
      <w:r>
        <w:t>Таблица 1. Резултати от изпитването на водни проби за участък „</w:t>
      </w:r>
      <w:proofErr w:type="spellStart"/>
      <w:r>
        <w:t>Пробойница</w:t>
      </w:r>
      <w:proofErr w:type="spellEnd"/>
      <w:r>
        <w:t>“</w:t>
      </w:r>
    </w:p>
    <w:tbl>
      <w:tblPr>
        <w:tblW w:w="7140" w:type="dxa"/>
        <w:tblCellSpacing w:w="20" w:type="dxa"/>
        <w:tblInd w:w="74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83"/>
        <w:gridCol w:w="508"/>
        <w:gridCol w:w="781"/>
        <w:gridCol w:w="936"/>
        <w:gridCol w:w="809"/>
        <w:gridCol w:w="903"/>
      </w:tblGrid>
      <w:tr w:rsidR="0062603A" w:rsidRPr="0075251F" w:rsidTr="002F75E1">
        <w:trPr>
          <w:trHeight w:val="900"/>
          <w:tblCellSpacing w:w="20" w:type="dxa"/>
        </w:trPr>
        <w:tc>
          <w:tcPr>
            <w:tcW w:w="115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 xml:space="preserve">Дата </w:t>
            </w:r>
            <w:proofErr w:type="spellStart"/>
            <w:r w:rsidRPr="0075251F">
              <w:rPr>
                <w:color w:val="000000"/>
                <w:sz w:val="22"/>
                <w:szCs w:val="22"/>
                <w:lang w:eastAsia="bg-BG"/>
              </w:rPr>
              <w:t>опробване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Водоизточник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5251F">
              <w:rPr>
                <w:color w:val="000000"/>
                <w:sz w:val="22"/>
                <w:szCs w:val="22"/>
                <w:lang w:eastAsia="bg-BG"/>
              </w:rPr>
              <w:t>рН</w:t>
            </w:r>
            <w:proofErr w:type="spellEnd"/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 xml:space="preserve">U, </w:t>
            </w:r>
            <w:proofErr w:type="spellStart"/>
            <w:r w:rsidRPr="0075251F">
              <w:rPr>
                <w:color w:val="000000"/>
                <w:sz w:val="22"/>
                <w:szCs w:val="22"/>
                <w:lang w:eastAsia="bg-BG"/>
              </w:rPr>
              <w:t>mg</w:t>
            </w:r>
            <w:proofErr w:type="spellEnd"/>
            <w:r w:rsidRPr="0075251F">
              <w:rPr>
                <w:color w:val="000000"/>
                <w:sz w:val="22"/>
                <w:szCs w:val="22"/>
                <w:lang w:eastAsia="bg-BG"/>
              </w:rPr>
              <w:t>/l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 xml:space="preserve">U, </w:t>
            </w:r>
            <w:proofErr w:type="spellStart"/>
            <w:r w:rsidRPr="0075251F">
              <w:rPr>
                <w:color w:val="000000"/>
                <w:sz w:val="22"/>
                <w:szCs w:val="22"/>
                <w:lang w:eastAsia="bg-BG"/>
              </w:rPr>
              <w:t>Bq</w:t>
            </w:r>
            <w:proofErr w:type="spellEnd"/>
            <w:r w:rsidRPr="0075251F">
              <w:rPr>
                <w:color w:val="000000"/>
                <w:sz w:val="22"/>
                <w:szCs w:val="22"/>
                <w:lang w:eastAsia="bg-BG"/>
              </w:rPr>
              <w:t>/m3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75251F">
              <w:rPr>
                <w:color w:val="000000"/>
                <w:sz w:val="22"/>
                <w:szCs w:val="22"/>
                <w:lang w:eastAsia="bg-BG"/>
              </w:rPr>
              <w:t>Ra</w:t>
            </w:r>
            <w:proofErr w:type="spellEnd"/>
            <w:r w:rsidRPr="0075251F">
              <w:rPr>
                <w:color w:val="000000"/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75251F">
              <w:rPr>
                <w:color w:val="000000"/>
                <w:sz w:val="22"/>
                <w:szCs w:val="22"/>
                <w:lang w:eastAsia="bg-BG"/>
              </w:rPr>
              <w:t>Bq</w:t>
            </w:r>
            <w:proofErr w:type="spellEnd"/>
            <w:r w:rsidRPr="0075251F">
              <w:rPr>
                <w:color w:val="000000"/>
                <w:sz w:val="22"/>
                <w:szCs w:val="22"/>
                <w:lang w:eastAsia="bg-BG"/>
              </w:rPr>
              <w:t>/m3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 xml:space="preserve">Обща β-акт, </w:t>
            </w:r>
            <w:proofErr w:type="spellStart"/>
            <w:r w:rsidRPr="0075251F">
              <w:rPr>
                <w:color w:val="000000"/>
                <w:sz w:val="22"/>
                <w:szCs w:val="22"/>
                <w:lang w:eastAsia="bg-BG"/>
              </w:rPr>
              <w:t>Bq</w:t>
            </w:r>
            <w:proofErr w:type="spellEnd"/>
            <w:r w:rsidRPr="0075251F">
              <w:rPr>
                <w:color w:val="000000"/>
                <w:sz w:val="22"/>
                <w:szCs w:val="22"/>
                <w:lang w:eastAsia="bg-BG"/>
              </w:rPr>
              <w:t>/m3</w:t>
            </w:r>
          </w:p>
        </w:tc>
      </w:tr>
      <w:tr w:rsidR="0062603A" w:rsidRPr="0075251F" w:rsidTr="002F75E1">
        <w:trPr>
          <w:trHeight w:val="300"/>
          <w:tblCellSpacing w:w="20" w:type="dxa"/>
        </w:trPr>
        <w:tc>
          <w:tcPr>
            <w:tcW w:w="115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30.03.2015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МП8 - устие Щ4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0.836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20900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5819</w:t>
            </w:r>
          </w:p>
        </w:tc>
      </w:tr>
      <w:tr w:rsidR="0062603A" w:rsidRPr="0075251F" w:rsidTr="002F75E1">
        <w:trPr>
          <w:trHeight w:val="300"/>
          <w:tblCellSpacing w:w="20" w:type="dxa"/>
        </w:trPr>
        <w:tc>
          <w:tcPr>
            <w:tcW w:w="115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30.03.2015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МП9 - устие Щ3а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0.755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18875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250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6582</w:t>
            </w:r>
          </w:p>
        </w:tc>
      </w:tr>
      <w:tr w:rsidR="0062603A" w:rsidRPr="0075251F" w:rsidTr="002F75E1">
        <w:trPr>
          <w:trHeight w:val="300"/>
          <w:tblCellSpacing w:w="20" w:type="dxa"/>
        </w:trPr>
        <w:tc>
          <w:tcPr>
            <w:tcW w:w="115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12.05.2015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МП8 - устие Щ4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0.955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23875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5306</w:t>
            </w:r>
          </w:p>
        </w:tc>
      </w:tr>
      <w:tr w:rsidR="0062603A" w:rsidRPr="0075251F" w:rsidTr="002F75E1">
        <w:trPr>
          <w:trHeight w:val="300"/>
          <w:tblCellSpacing w:w="20" w:type="dxa"/>
        </w:trPr>
        <w:tc>
          <w:tcPr>
            <w:tcW w:w="115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12.05.2015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МП9 - устие Щ3а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0.913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22825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277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4842</w:t>
            </w:r>
          </w:p>
        </w:tc>
      </w:tr>
      <w:tr w:rsidR="0062603A" w:rsidRPr="0075251F" w:rsidTr="002F75E1">
        <w:trPr>
          <w:trHeight w:val="300"/>
          <w:tblCellSpacing w:w="20" w:type="dxa"/>
        </w:trPr>
        <w:tc>
          <w:tcPr>
            <w:tcW w:w="115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11.09.2015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МП8 - устие Щ4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0.488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12200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3497</w:t>
            </w:r>
          </w:p>
        </w:tc>
      </w:tr>
      <w:tr w:rsidR="0062603A" w:rsidRPr="0075251F" w:rsidTr="002F75E1">
        <w:trPr>
          <w:trHeight w:val="315"/>
          <w:tblCellSpacing w:w="20" w:type="dxa"/>
        </w:trPr>
        <w:tc>
          <w:tcPr>
            <w:tcW w:w="115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11.09.2015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МП9 - устие Щ3а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0.632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13300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174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62603A" w:rsidRPr="0075251F" w:rsidRDefault="0062603A" w:rsidP="002F75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5251F">
              <w:rPr>
                <w:color w:val="000000"/>
                <w:sz w:val="22"/>
                <w:szCs w:val="22"/>
                <w:lang w:eastAsia="bg-BG"/>
              </w:rPr>
              <w:t>3579</w:t>
            </w:r>
          </w:p>
        </w:tc>
      </w:tr>
    </w:tbl>
    <w:p w:rsidR="0062603A" w:rsidRDefault="0062603A" w:rsidP="0062603A">
      <w:pPr>
        <w:rPr>
          <w:color w:val="000000"/>
          <w:sz w:val="22"/>
          <w:szCs w:val="22"/>
          <w:lang w:eastAsia="bg-BG"/>
        </w:rPr>
      </w:pPr>
    </w:p>
    <w:p w:rsidR="0062603A" w:rsidRDefault="0062603A" w:rsidP="0062603A">
      <w:r>
        <w:rPr>
          <w:color w:val="000000"/>
          <w:sz w:val="22"/>
          <w:szCs w:val="22"/>
          <w:lang w:eastAsia="bg-BG"/>
        </w:rPr>
        <w:t>Съгласно Наредба №1 от 15.11.1999 г. за норми за целите на радиационната защита и безопасност при ликвидиране на последствията от урановата промишленост в Република България, с</w:t>
      </w:r>
      <w:r>
        <w:t xml:space="preserve">тойностите за </w:t>
      </w:r>
      <w:proofErr w:type="spellStart"/>
      <w:r>
        <w:t>допуск</w:t>
      </w:r>
      <w:proofErr w:type="spellEnd"/>
      <w:r>
        <w:t xml:space="preserve">  са: </w:t>
      </w:r>
      <w:r w:rsidRPr="00A25BA3">
        <w:rPr>
          <w:color w:val="000000"/>
          <w:sz w:val="22"/>
          <w:szCs w:val="22"/>
          <w:lang w:eastAsia="bg-BG"/>
        </w:rPr>
        <w:t xml:space="preserve">U, </w:t>
      </w:r>
      <w:proofErr w:type="spellStart"/>
      <w:r w:rsidRPr="00A25BA3">
        <w:rPr>
          <w:color w:val="000000"/>
          <w:sz w:val="22"/>
          <w:szCs w:val="22"/>
          <w:lang w:eastAsia="bg-BG"/>
        </w:rPr>
        <w:t>Bq</w:t>
      </w:r>
      <w:proofErr w:type="spellEnd"/>
      <w:r w:rsidRPr="00A25BA3">
        <w:rPr>
          <w:color w:val="000000"/>
          <w:sz w:val="22"/>
          <w:szCs w:val="22"/>
          <w:lang w:eastAsia="bg-BG"/>
        </w:rPr>
        <w:t>/m3</w:t>
      </w:r>
      <w:r>
        <w:rPr>
          <w:color w:val="000000"/>
          <w:sz w:val="22"/>
          <w:szCs w:val="22"/>
          <w:lang w:eastAsia="bg-BG"/>
        </w:rPr>
        <w:t xml:space="preserve"> - 7500; </w:t>
      </w:r>
      <w:proofErr w:type="spellStart"/>
      <w:r w:rsidRPr="00A25BA3">
        <w:rPr>
          <w:color w:val="000000"/>
          <w:sz w:val="22"/>
          <w:szCs w:val="22"/>
          <w:lang w:eastAsia="bg-BG"/>
        </w:rPr>
        <w:t>Ra</w:t>
      </w:r>
      <w:proofErr w:type="spellEnd"/>
      <w:r w:rsidRPr="00A25BA3">
        <w:rPr>
          <w:color w:val="000000"/>
          <w:sz w:val="22"/>
          <w:szCs w:val="22"/>
          <w:lang w:eastAsia="bg-BG"/>
        </w:rPr>
        <w:t xml:space="preserve">, </w:t>
      </w:r>
      <w:proofErr w:type="spellStart"/>
      <w:r w:rsidRPr="00A25BA3">
        <w:rPr>
          <w:color w:val="000000"/>
          <w:sz w:val="22"/>
          <w:szCs w:val="22"/>
          <w:lang w:eastAsia="bg-BG"/>
        </w:rPr>
        <w:t>Bq</w:t>
      </w:r>
      <w:proofErr w:type="spellEnd"/>
      <w:r w:rsidRPr="00A25BA3">
        <w:rPr>
          <w:color w:val="000000"/>
          <w:sz w:val="22"/>
          <w:szCs w:val="22"/>
          <w:lang w:eastAsia="bg-BG"/>
        </w:rPr>
        <w:t>/m3</w:t>
      </w:r>
      <w:r>
        <w:rPr>
          <w:color w:val="000000"/>
          <w:sz w:val="22"/>
          <w:szCs w:val="22"/>
          <w:lang w:eastAsia="bg-BG"/>
        </w:rPr>
        <w:t xml:space="preserve"> – 500; </w:t>
      </w:r>
      <w:r w:rsidRPr="00A25BA3">
        <w:rPr>
          <w:color w:val="000000"/>
          <w:sz w:val="22"/>
          <w:szCs w:val="22"/>
          <w:lang w:eastAsia="bg-BG"/>
        </w:rPr>
        <w:t xml:space="preserve">Обща β-акт, </w:t>
      </w:r>
      <w:proofErr w:type="spellStart"/>
      <w:r w:rsidRPr="00A25BA3">
        <w:rPr>
          <w:color w:val="000000"/>
          <w:sz w:val="22"/>
          <w:szCs w:val="22"/>
          <w:lang w:eastAsia="bg-BG"/>
        </w:rPr>
        <w:t>Bq</w:t>
      </w:r>
      <w:proofErr w:type="spellEnd"/>
      <w:r w:rsidRPr="00A25BA3">
        <w:rPr>
          <w:color w:val="000000"/>
          <w:sz w:val="22"/>
          <w:szCs w:val="22"/>
          <w:lang w:eastAsia="bg-BG"/>
        </w:rPr>
        <w:t>/m3</w:t>
      </w:r>
      <w:r>
        <w:rPr>
          <w:color w:val="000000"/>
          <w:sz w:val="22"/>
          <w:szCs w:val="22"/>
          <w:lang w:eastAsia="bg-BG"/>
        </w:rPr>
        <w:t xml:space="preserve"> – 2000.</w:t>
      </w:r>
    </w:p>
    <w:p w:rsidR="0062603A" w:rsidRDefault="0062603A" w:rsidP="0062603A">
      <w:r>
        <w:t xml:space="preserve">Видно от таблица 1, е че стойностите по показател за съдържание на уран във рудничните води  и обща </w:t>
      </w:r>
      <w:r>
        <w:sym w:font="Symbol" w:char="F062"/>
      </w:r>
      <w:r>
        <w:t xml:space="preserve">- активност надвишават стойностите за </w:t>
      </w:r>
      <w:proofErr w:type="spellStart"/>
      <w:r>
        <w:t>допуск</w:t>
      </w:r>
      <w:proofErr w:type="spellEnd"/>
      <w:r>
        <w:t>.</w:t>
      </w:r>
    </w:p>
    <w:p w:rsidR="0062603A" w:rsidRPr="00972CF9" w:rsidRDefault="0062603A" w:rsidP="0062603A">
      <w:pPr>
        <w:pStyle w:val="2"/>
      </w:pPr>
      <w:bookmarkStart w:id="16" w:name="_Toc119317237"/>
      <w:bookmarkStart w:id="17" w:name="_Toc437196612"/>
      <w:bookmarkStart w:id="18" w:name="_Toc115067717"/>
      <w:bookmarkStart w:id="19" w:name="_Toc115067908"/>
      <w:r>
        <w:t xml:space="preserve">4.3. </w:t>
      </w:r>
      <w:r w:rsidRPr="00972CF9">
        <w:t>Радиационни фактори и граници</w:t>
      </w:r>
      <w:bookmarkEnd w:id="16"/>
      <w:bookmarkEnd w:id="17"/>
      <w:r w:rsidRPr="00972CF9">
        <w:t xml:space="preserve"> </w:t>
      </w:r>
      <w:bookmarkEnd w:id="18"/>
      <w:bookmarkEnd w:id="19"/>
    </w:p>
    <w:p w:rsidR="0062603A" w:rsidRPr="002D37C4" w:rsidRDefault="0062603A" w:rsidP="0062603A">
      <w:pPr>
        <w:ind w:firstLine="432"/>
        <w:rPr>
          <w:lang w:val="ru-RU"/>
        </w:rPr>
      </w:pPr>
      <w:r w:rsidRPr="002D37C4">
        <w:rPr>
          <w:lang w:val="ru-RU"/>
        </w:rPr>
        <w:t xml:space="preserve">По </w:t>
      </w:r>
      <w:proofErr w:type="spellStart"/>
      <w:r w:rsidRPr="002D37C4">
        <w:rPr>
          <w:lang w:val="ru-RU"/>
        </w:rPr>
        <w:t>смисъла</w:t>
      </w:r>
      <w:proofErr w:type="spellEnd"/>
      <w:r w:rsidRPr="002D37C4">
        <w:rPr>
          <w:lang w:val="ru-RU"/>
        </w:rPr>
        <w:t xml:space="preserve"> на </w:t>
      </w:r>
      <w:proofErr w:type="spellStart"/>
      <w:r w:rsidRPr="002D37C4">
        <w:rPr>
          <w:lang w:val="ru-RU"/>
        </w:rPr>
        <w:t>Наредбата</w:t>
      </w:r>
      <w:proofErr w:type="spellEnd"/>
      <w:r w:rsidRPr="002D37C4">
        <w:rPr>
          <w:lang w:val="ru-RU"/>
        </w:rPr>
        <w:t xml:space="preserve"> за </w:t>
      </w:r>
      <w:proofErr w:type="spellStart"/>
      <w:r w:rsidRPr="002D37C4">
        <w:rPr>
          <w:lang w:val="ru-RU"/>
        </w:rPr>
        <w:t>радиационна</w:t>
      </w:r>
      <w:proofErr w:type="spellEnd"/>
      <w:r w:rsidRPr="002D37C4">
        <w:rPr>
          <w:lang w:val="ru-RU"/>
        </w:rPr>
        <w:t xml:space="preserve"> защита ДВ бр.74/24.08.2004 г., </w:t>
      </w:r>
      <w:proofErr w:type="spellStart"/>
      <w:r w:rsidRPr="002D37C4">
        <w:rPr>
          <w:lang w:val="ru-RU"/>
        </w:rPr>
        <w:t>описаните</w:t>
      </w:r>
      <w:proofErr w:type="spellEnd"/>
      <w:r w:rsidRPr="002D37C4">
        <w:rPr>
          <w:lang w:val="ru-RU"/>
        </w:rPr>
        <w:t xml:space="preserve"> </w:t>
      </w:r>
      <w:proofErr w:type="spellStart"/>
      <w:r>
        <w:rPr>
          <w:lang w:val="ru-RU"/>
        </w:rPr>
        <w:t>по-горе</w:t>
      </w:r>
      <w:proofErr w:type="spellEnd"/>
      <w:r>
        <w:rPr>
          <w:lang w:val="ru-RU"/>
        </w:rPr>
        <w:t xml:space="preserve"> </w:t>
      </w:r>
      <w:proofErr w:type="spellStart"/>
      <w:r w:rsidRPr="002D37C4">
        <w:rPr>
          <w:lang w:val="ru-RU"/>
        </w:rPr>
        <w:t>радиоактивни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замърсявания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са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открити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източници</w:t>
      </w:r>
      <w:proofErr w:type="spellEnd"/>
      <w:r w:rsidRPr="002D37C4">
        <w:rPr>
          <w:lang w:val="ru-RU"/>
        </w:rPr>
        <w:t xml:space="preserve"> на </w:t>
      </w:r>
      <w:proofErr w:type="spellStart"/>
      <w:r w:rsidRPr="002D37C4">
        <w:rPr>
          <w:lang w:val="ru-RU"/>
        </w:rPr>
        <w:t>йонизиращи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лъчения</w:t>
      </w:r>
      <w:proofErr w:type="spellEnd"/>
      <w:r w:rsidRPr="002D37C4">
        <w:rPr>
          <w:lang w:val="ru-RU"/>
        </w:rPr>
        <w:t>.</w:t>
      </w:r>
    </w:p>
    <w:p w:rsidR="0062603A" w:rsidRPr="002D37C4" w:rsidRDefault="0062603A" w:rsidP="0062603A">
      <w:pPr>
        <w:ind w:firstLine="720"/>
        <w:rPr>
          <w:lang w:val="ru-RU"/>
        </w:rPr>
      </w:pPr>
      <w:proofErr w:type="spellStart"/>
      <w:r w:rsidRPr="002D37C4">
        <w:rPr>
          <w:lang w:val="ru-RU"/>
        </w:rPr>
        <w:lastRenderedPageBreak/>
        <w:t>Съгласно</w:t>
      </w:r>
      <w:proofErr w:type="spellEnd"/>
      <w:r w:rsidRPr="002D37C4">
        <w:rPr>
          <w:lang w:val="ru-RU"/>
        </w:rPr>
        <w:t xml:space="preserve"> Приложение 2 от </w:t>
      </w:r>
      <w:proofErr w:type="spellStart"/>
      <w:r w:rsidRPr="002D37C4">
        <w:rPr>
          <w:lang w:val="ru-RU"/>
        </w:rPr>
        <w:t>същата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наредба</w:t>
      </w:r>
      <w:proofErr w:type="spellEnd"/>
      <w:r w:rsidRPr="002D37C4">
        <w:rPr>
          <w:lang w:val="ru-RU"/>
        </w:rPr>
        <w:t xml:space="preserve">, </w:t>
      </w:r>
      <w:proofErr w:type="spellStart"/>
      <w:r w:rsidRPr="002D37C4">
        <w:rPr>
          <w:lang w:val="ru-RU"/>
        </w:rPr>
        <w:t>радионуклидите</w:t>
      </w:r>
      <w:proofErr w:type="spellEnd"/>
      <w:r w:rsidRPr="002D37C4">
        <w:rPr>
          <w:lang w:val="ru-RU"/>
        </w:rPr>
        <w:t xml:space="preserve"> (</w:t>
      </w:r>
      <w:proofErr w:type="spellStart"/>
      <w:r w:rsidRPr="002D37C4">
        <w:rPr>
          <w:lang w:val="ru-RU"/>
        </w:rPr>
        <w:t>срещащи</w:t>
      </w:r>
      <w:proofErr w:type="spellEnd"/>
      <w:r w:rsidRPr="002D37C4">
        <w:rPr>
          <w:lang w:val="ru-RU"/>
        </w:rPr>
        <w:t xml:space="preserve"> се в </w:t>
      </w:r>
      <w:proofErr w:type="spellStart"/>
      <w:r w:rsidRPr="002D37C4">
        <w:rPr>
          <w:lang w:val="ru-RU"/>
        </w:rPr>
        <w:t>субстатите</w:t>
      </w:r>
      <w:proofErr w:type="spellEnd"/>
      <w:r w:rsidRPr="002D37C4">
        <w:rPr>
          <w:lang w:val="ru-RU"/>
        </w:rPr>
        <w:t xml:space="preserve"> на табаните и </w:t>
      </w:r>
      <w:proofErr w:type="spellStart"/>
      <w:r w:rsidRPr="002D37C4">
        <w:rPr>
          <w:lang w:val="ru-RU"/>
        </w:rPr>
        <w:t>площадките</w:t>
      </w:r>
      <w:proofErr w:type="spellEnd"/>
      <w:r w:rsidRPr="002D37C4">
        <w:rPr>
          <w:lang w:val="ru-RU"/>
        </w:rPr>
        <w:t xml:space="preserve"> от </w:t>
      </w:r>
      <w:proofErr w:type="spellStart"/>
      <w:r w:rsidRPr="002D37C4">
        <w:rPr>
          <w:lang w:val="ru-RU"/>
        </w:rPr>
        <w:t>бившия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уранодобив</w:t>
      </w:r>
      <w:proofErr w:type="spellEnd"/>
      <w:r w:rsidRPr="002D37C4">
        <w:rPr>
          <w:lang w:val="ru-RU"/>
        </w:rPr>
        <w:t xml:space="preserve">) по степен на </w:t>
      </w:r>
      <w:proofErr w:type="spellStart"/>
      <w:r w:rsidRPr="002D37C4">
        <w:rPr>
          <w:lang w:val="ru-RU"/>
        </w:rPr>
        <w:t>радиотоксичност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са</w:t>
      </w:r>
      <w:proofErr w:type="spellEnd"/>
      <w:r w:rsidRPr="002D37C4">
        <w:rPr>
          <w:lang w:val="ru-RU"/>
        </w:rPr>
        <w:t xml:space="preserve">: от </w:t>
      </w:r>
      <w:proofErr w:type="spellStart"/>
      <w:r w:rsidRPr="002D37C4">
        <w:rPr>
          <w:lang w:val="ru-RU"/>
        </w:rPr>
        <w:t>група</w:t>
      </w:r>
      <w:proofErr w:type="spellEnd"/>
      <w:r w:rsidRPr="002D37C4">
        <w:rPr>
          <w:lang w:val="ru-RU"/>
        </w:rPr>
        <w:t xml:space="preserve"> 1 (</w:t>
      </w:r>
      <w:proofErr w:type="spellStart"/>
      <w:r w:rsidRPr="00972CF9">
        <w:t>Ra</w:t>
      </w:r>
      <w:proofErr w:type="spellEnd"/>
      <w:r w:rsidRPr="002D37C4">
        <w:rPr>
          <w:lang w:val="ru-RU"/>
        </w:rPr>
        <w:t xml:space="preserve">-226) – много </w:t>
      </w:r>
      <w:proofErr w:type="spellStart"/>
      <w:r w:rsidRPr="002D37C4">
        <w:rPr>
          <w:lang w:val="ru-RU"/>
        </w:rPr>
        <w:t>висока</w:t>
      </w:r>
      <w:proofErr w:type="spellEnd"/>
      <w:r w:rsidRPr="002D37C4">
        <w:rPr>
          <w:lang w:val="ru-RU"/>
        </w:rPr>
        <w:t xml:space="preserve">; </w:t>
      </w:r>
      <w:proofErr w:type="spellStart"/>
      <w:r w:rsidRPr="002D37C4">
        <w:rPr>
          <w:lang w:val="ru-RU"/>
        </w:rPr>
        <w:t>група</w:t>
      </w:r>
      <w:proofErr w:type="spellEnd"/>
      <w:r w:rsidRPr="002D37C4">
        <w:rPr>
          <w:lang w:val="ru-RU"/>
        </w:rPr>
        <w:t xml:space="preserve"> 2 (</w:t>
      </w:r>
      <w:proofErr w:type="spellStart"/>
      <w:r w:rsidRPr="00972CF9">
        <w:t>Th</w:t>
      </w:r>
      <w:proofErr w:type="spellEnd"/>
      <w:r w:rsidRPr="002D37C4">
        <w:rPr>
          <w:lang w:val="ru-RU"/>
        </w:rPr>
        <w:t xml:space="preserve">-232) – </w:t>
      </w:r>
      <w:proofErr w:type="spellStart"/>
      <w:r w:rsidRPr="002D37C4">
        <w:rPr>
          <w:lang w:val="ru-RU"/>
        </w:rPr>
        <w:t>висока</w:t>
      </w:r>
      <w:proofErr w:type="spellEnd"/>
      <w:r w:rsidRPr="002D37C4">
        <w:rPr>
          <w:lang w:val="ru-RU"/>
        </w:rPr>
        <w:t xml:space="preserve">, </w:t>
      </w:r>
      <w:proofErr w:type="spellStart"/>
      <w:r w:rsidRPr="002D37C4">
        <w:rPr>
          <w:lang w:val="ru-RU"/>
        </w:rPr>
        <w:t>група</w:t>
      </w:r>
      <w:proofErr w:type="spellEnd"/>
      <w:r w:rsidRPr="002D37C4">
        <w:rPr>
          <w:lang w:val="ru-RU"/>
        </w:rPr>
        <w:t xml:space="preserve"> 3 (</w:t>
      </w:r>
      <w:proofErr w:type="spellStart"/>
      <w:r w:rsidRPr="00972CF9">
        <w:t>Rn</w:t>
      </w:r>
      <w:proofErr w:type="spellEnd"/>
      <w:r w:rsidRPr="002D37C4">
        <w:rPr>
          <w:lang w:val="ru-RU"/>
        </w:rPr>
        <w:t xml:space="preserve">-222) - </w:t>
      </w:r>
      <w:proofErr w:type="spellStart"/>
      <w:r w:rsidRPr="002D37C4">
        <w:rPr>
          <w:lang w:val="ru-RU"/>
        </w:rPr>
        <w:t>средна</w:t>
      </w:r>
      <w:proofErr w:type="spellEnd"/>
      <w:r w:rsidRPr="002D37C4">
        <w:rPr>
          <w:lang w:val="ru-RU"/>
        </w:rPr>
        <w:t xml:space="preserve"> и </w:t>
      </w:r>
      <w:proofErr w:type="spellStart"/>
      <w:r w:rsidRPr="002D37C4">
        <w:rPr>
          <w:lang w:val="ru-RU"/>
        </w:rPr>
        <w:t>група</w:t>
      </w:r>
      <w:proofErr w:type="spellEnd"/>
      <w:r w:rsidRPr="002D37C4">
        <w:rPr>
          <w:lang w:val="ru-RU"/>
        </w:rPr>
        <w:t xml:space="preserve"> 4 (</w:t>
      </w:r>
      <w:r w:rsidRPr="00972CF9">
        <w:t>U</w:t>
      </w:r>
      <w:r w:rsidRPr="002D37C4">
        <w:rPr>
          <w:lang w:val="ru-RU"/>
        </w:rPr>
        <w:t xml:space="preserve"> естествен) – с </w:t>
      </w:r>
      <w:proofErr w:type="spellStart"/>
      <w:r w:rsidRPr="002D37C4">
        <w:rPr>
          <w:lang w:val="ru-RU"/>
        </w:rPr>
        <w:t>ниска</w:t>
      </w:r>
      <w:proofErr w:type="spellEnd"/>
      <w:r w:rsidRPr="002D37C4">
        <w:rPr>
          <w:lang w:val="ru-RU"/>
        </w:rPr>
        <w:t>.</w:t>
      </w:r>
    </w:p>
    <w:p w:rsidR="0062603A" w:rsidRPr="00C17654" w:rsidRDefault="0062603A" w:rsidP="0062603A">
      <w:pPr>
        <w:ind w:firstLine="720"/>
        <w:rPr>
          <w:lang w:val="ru-RU"/>
        </w:rPr>
      </w:pPr>
      <w:r w:rsidRPr="00C17654">
        <w:rPr>
          <w:lang w:val="ru-RU"/>
        </w:rPr>
        <w:t xml:space="preserve">В </w:t>
      </w:r>
      <w:proofErr w:type="spellStart"/>
      <w:r w:rsidRPr="00C17654">
        <w:rPr>
          <w:lang w:val="ru-RU"/>
        </w:rPr>
        <w:t>конкретния</w:t>
      </w:r>
      <w:proofErr w:type="spellEnd"/>
      <w:r w:rsidRPr="00C17654">
        <w:rPr>
          <w:lang w:val="ru-RU"/>
        </w:rPr>
        <w:t xml:space="preserve"> случай, от </w:t>
      </w:r>
      <w:proofErr w:type="spellStart"/>
      <w:r w:rsidRPr="00C17654">
        <w:rPr>
          <w:lang w:val="ru-RU"/>
        </w:rPr>
        <w:t>наличните</w:t>
      </w:r>
      <w:proofErr w:type="spellEnd"/>
      <w:r w:rsidRPr="00C17654">
        <w:rPr>
          <w:lang w:val="ru-RU"/>
        </w:rPr>
        <w:t xml:space="preserve"> </w:t>
      </w:r>
      <w:proofErr w:type="spellStart"/>
      <w:r w:rsidRPr="00C17654">
        <w:rPr>
          <w:lang w:val="ru-RU"/>
        </w:rPr>
        <w:t>данни</w:t>
      </w:r>
      <w:proofErr w:type="spellEnd"/>
      <w:r w:rsidRPr="00C17654">
        <w:rPr>
          <w:lang w:val="ru-RU"/>
        </w:rPr>
        <w:t xml:space="preserve"> за </w:t>
      </w:r>
      <w:proofErr w:type="spellStart"/>
      <w:r w:rsidRPr="00C17654">
        <w:rPr>
          <w:lang w:val="ru-RU"/>
        </w:rPr>
        <w:t>измерените</w:t>
      </w:r>
      <w:proofErr w:type="spellEnd"/>
      <w:r w:rsidRPr="00C17654">
        <w:rPr>
          <w:lang w:val="ru-RU"/>
        </w:rPr>
        <w:t xml:space="preserve"> </w:t>
      </w:r>
      <w:proofErr w:type="spellStart"/>
      <w:r w:rsidRPr="00C17654">
        <w:rPr>
          <w:lang w:val="ru-RU"/>
        </w:rPr>
        <w:t>стойности</w:t>
      </w:r>
      <w:proofErr w:type="spellEnd"/>
      <w:r w:rsidRPr="00C17654">
        <w:rPr>
          <w:lang w:val="ru-RU"/>
        </w:rPr>
        <w:t xml:space="preserve"> за </w:t>
      </w:r>
      <w:proofErr w:type="spellStart"/>
      <w:r w:rsidRPr="00C17654">
        <w:rPr>
          <w:lang w:val="ru-RU"/>
        </w:rPr>
        <w:t>активността</w:t>
      </w:r>
      <w:proofErr w:type="spellEnd"/>
      <w:r w:rsidRPr="00C17654">
        <w:rPr>
          <w:lang w:val="ru-RU"/>
        </w:rPr>
        <w:t xml:space="preserve"> на </w:t>
      </w:r>
      <w:proofErr w:type="spellStart"/>
      <w:r w:rsidRPr="00C17654">
        <w:rPr>
          <w:lang w:val="ru-RU"/>
        </w:rPr>
        <w:t>радионуклидите</w:t>
      </w:r>
      <w:proofErr w:type="spellEnd"/>
      <w:r w:rsidRPr="00C17654">
        <w:rPr>
          <w:lang w:val="ru-RU"/>
        </w:rPr>
        <w:t xml:space="preserve"> в </w:t>
      </w:r>
      <w:proofErr w:type="spellStart"/>
      <w:r w:rsidRPr="00C17654">
        <w:rPr>
          <w:lang w:val="ru-RU"/>
        </w:rPr>
        <w:t>субстратите</w:t>
      </w:r>
      <w:proofErr w:type="spellEnd"/>
      <w:r w:rsidRPr="00C17654">
        <w:rPr>
          <w:lang w:val="ru-RU"/>
        </w:rPr>
        <w:t xml:space="preserve">, </w:t>
      </w:r>
      <w:proofErr w:type="spellStart"/>
      <w:r w:rsidRPr="00C17654">
        <w:rPr>
          <w:lang w:val="ru-RU"/>
        </w:rPr>
        <w:t>мо</w:t>
      </w:r>
      <w:r>
        <w:rPr>
          <w:lang w:val="ru-RU"/>
        </w:rPr>
        <w:t>щността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дозата</w:t>
      </w:r>
      <w:proofErr w:type="spellEnd"/>
      <w:r>
        <w:rPr>
          <w:lang w:val="ru-RU"/>
        </w:rPr>
        <w:t xml:space="preserve"> гама-</w:t>
      </w:r>
      <w:proofErr w:type="spellStart"/>
      <w:r>
        <w:rPr>
          <w:lang w:val="ru-RU"/>
        </w:rPr>
        <w:t>лъчение</w:t>
      </w:r>
      <w:proofErr w:type="spellEnd"/>
      <w:r>
        <w:rPr>
          <w:lang w:val="ru-RU"/>
        </w:rPr>
        <w:t xml:space="preserve"> </w:t>
      </w:r>
      <w:r w:rsidRPr="00C17654">
        <w:rPr>
          <w:lang w:val="ru-RU"/>
        </w:rPr>
        <w:t xml:space="preserve">е </w:t>
      </w:r>
      <w:r w:rsidRPr="003672C9">
        <w:rPr>
          <w:lang w:val="ru-RU"/>
        </w:rPr>
        <w:t xml:space="preserve">видно, че </w:t>
      </w:r>
      <w:proofErr w:type="spellStart"/>
      <w:r w:rsidRPr="003672C9">
        <w:rPr>
          <w:lang w:val="ru-RU"/>
        </w:rPr>
        <w:t>основно</w:t>
      </w:r>
      <w:proofErr w:type="spellEnd"/>
      <w:r w:rsidRPr="003672C9">
        <w:rPr>
          <w:lang w:val="ru-RU"/>
        </w:rPr>
        <w:t xml:space="preserve"> </w:t>
      </w:r>
      <w:proofErr w:type="spellStart"/>
      <w:r w:rsidRPr="003672C9">
        <w:rPr>
          <w:lang w:val="ru-RU"/>
        </w:rPr>
        <w:t>радиациония</w:t>
      </w:r>
      <w:proofErr w:type="spellEnd"/>
      <w:r w:rsidRPr="003672C9">
        <w:rPr>
          <w:lang w:val="ru-RU"/>
        </w:rPr>
        <w:t xml:space="preserve"> риск за персонала </w:t>
      </w:r>
      <w:proofErr w:type="spellStart"/>
      <w:r>
        <w:rPr>
          <w:lang w:val="ru-RU"/>
        </w:rPr>
        <w:t>очаквано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завишаване</w:t>
      </w:r>
      <w:proofErr w:type="spellEnd"/>
      <w:r>
        <w:rPr>
          <w:lang w:val="ru-RU"/>
        </w:rPr>
        <w:t xml:space="preserve"> </w:t>
      </w:r>
      <w:r w:rsidRPr="00C17654">
        <w:rPr>
          <w:lang w:val="ru-RU"/>
        </w:rPr>
        <w:t xml:space="preserve"> по </w:t>
      </w:r>
      <w:proofErr w:type="spellStart"/>
      <w:r w:rsidRPr="00C17654">
        <w:rPr>
          <w:lang w:val="ru-RU"/>
        </w:rPr>
        <w:t>показател</w:t>
      </w:r>
      <w:proofErr w:type="spellEnd"/>
      <w:r w:rsidRPr="00C17654">
        <w:rPr>
          <w:lang w:val="ru-RU"/>
        </w:rPr>
        <w:t xml:space="preserve"> </w:t>
      </w:r>
      <w:proofErr w:type="spellStart"/>
      <w:r w:rsidRPr="00C17654">
        <w:rPr>
          <w:lang w:val="ru-RU"/>
        </w:rPr>
        <w:t>мощност</w:t>
      </w:r>
      <w:proofErr w:type="spellEnd"/>
      <w:r w:rsidRPr="00C17654">
        <w:rPr>
          <w:lang w:val="ru-RU"/>
        </w:rPr>
        <w:t xml:space="preserve"> на </w:t>
      </w:r>
      <w:proofErr w:type="spellStart"/>
      <w:r w:rsidRPr="00C17654">
        <w:rPr>
          <w:lang w:val="ru-RU"/>
        </w:rPr>
        <w:t>дозата</w:t>
      </w:r>
      <w:proofErr w:type="spellEnd"/>
      <w:r w:rsidRPr="00C17654">
        <w:rPr>
          <w:lang w:val="ru-RU"/>
        </w:rPr>
        <w:t xml:space="preserve"> гама-</w:t>
      </w:r>
      <w:proofErr w:type="spellStart"/>
      <w:r w:rsidRPr="00C17654">
        <w:rPr>
          <w:lang w:val="ru-RU"/>
        </w:rPr>
        <w:t>лъчение</w:t>
      </w:r>
      <w:proofErr w:type="spellEnd"/>
      <w:r w:rsidRPr="00C17654">
        <w:rPr>
          <w:lang w:val="ru-RU"/>
        </w:rPr>
        <w:t xml:space="preserve"> при </w:t>
      </w:r>
      <w:proofErr w:type="spellStart"/>
      <w:r w:rsidRPr="00C17654">
        <w:rPr>
          <w:lang w:val="ru-RU"/>
        </w:rPr>
        <w:t>извършване</w:t>
      </w:r>
      <w:proofErr w:type="spellEnd"/>
      <w:r w:rsidRPr="00C17654">
        <w:rPr>
          <w:lang w:val="ru-RU"/>
        </w:rPr>
        <w:t xml:space="preserve"> на </w:t>
      </w:r>
      <w:proofErr w:type="spellStart"/>
      <w:r w:rsidRPr="00C17654">
        <w:rPr>
          <w:lang w:val="ru-RU"/>
        </w:rPr>
        <w:t>земни</w:t>
      </w:r>
      <w:proofErr w:type="spellEnd"/>
      <w:r w:rsidRPr="00C17654">
        <w:rPr>
          <w:lang w:val="ru-RU"/>
        </w:rPr>
        <w:t xml:space="preserve"> </w:t>
      </w:r>
      <w:proofErr w:type="spellStart"/>
      <w:r w:rsidRPr="00C17654">
        <w:rPr>
          <w:lang w:val="ru-RU"/>
        </w:rPr>
        <w:t>работи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изкоп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насип</w:t>
      </w:r>
      <w:proofErr w:type="spellEnd"/>
      <w:r>
        <w:rPr>
          <w:lang w:val="ru-RU"/>
        </w:rPr>
        <w:t>)</w:t>
      </w:r>
      <w:r w:rsidRPr="00C17654">
        <w:rPr>
          <w:lang w:val="ru-RU"/>
        </w:rPr>
        <w:t xml:space="preserve"> при </w:t>
      </w:r>
      <w:proofErr w:type="spellStart"/>
      <w:r>
        <w:rPr>
          <w:lang w:val="ru-RU"/>
        </w:rPr>
        <w:t>почистването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площадките</w:t>
      </w:r>
      <w:proofErr w:type="spellEnd"/>
      <w:r>
        <w:rPr>
          <w:lang w:val="ru-RU"/>
        </w:rPr>
        <w:t xml:space="preserve"> пред </w:t>
      </w:r>
      <w:proofErr w:type="spellStart"/>
      <w:r>
        <w:rPr>
          <w:lang w:val="ru-RU"/>
        </w:rPr>
        <w:t>устията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щолните</w:t>
      </w:r>
      <w:proofErr w:type="spellEnd"/>
      <w:r>
        <w:rPr>
          <w:lang w:val="ru-RU"/>
        </w:rPr>
        <w:t xml:space="preserve"> и в </w:t>
      </w:r>
      <w:proofErr w:type="spellStart"/>
      <w:r>
        <w:rPr>
          <w:lang w:val="ru-RU"/>
        </w:rPr>
        <w:t>минните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изработки</w:t>
      </w:r>
      <w:proofErr w:type="spellEnd"/>
      <w:r>
        <w:rPr>
          <w:lang w:val="ru-RU"/>
        </w:rPr>
        <w:t xml:space="preserve">, при </w:t>
      </w:r>
      <w:proofErr w:type="spellStart"/>
      <w:r>
        <w:rPr>
          <w:lang w:val="ru-RU"/>
        </w:rPr>
        <w:t>дейностите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запълнение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приобщаване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околния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релеф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при доставка на </w:t>
      </w:r>
      <w:proofErr w:type="spellStart"/>
      <w:r>
        <w:rPr>
          <w:lang w:val="ru-RU"/>
        </w:rPr>
        <w:t>скални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маси</w:t>
      </w:r>
      <w:proofErr w:type="spellEnd"/>
      <w:r>
        <w:rPr>
          <w:lang w:val="ru-RU"/>
        </w:rPr>
        <w:t xml:space="preserve"> от района на </w:t>
      </w:r>
      <w:proofErr w:type="spellStart"/>
      <w:r>
        <w:rPr>
          <w:lang w:val="ru-RU"/>
        </w:rPr>
        <w:t>участъка</w:t>
      </w:r>
      <w:proofErr w:type="spellEnd"/>
      <w:r>
        <w:rPr>
          <w:lang w:val="ru-RU"/>
        </w:rPr>
        <w:t xml:space="preserve"> (от </w:t>
      </w:r>
      <w:proofErr w:type="spellStart"/>
      <w:r>
        <w:rPr>
          <w:lang w:val="ru-RU"/>
        </w:rPr>
        <w:t>табани</w:t>
      </w:r>
      <w:proofErr w:type="spellEnd"/>
      <w:r>
        <w:rPr>
          <w:lang w:val="ru-RU"/>
        </w:rPr>
        <w:t xml:space="preserve">). </w:t>
      </w:r>
    </w:p>
    <w:p w:rsidR="0062603A" w:rsidRPr="002D37C4" w:rsidRDefault="0062603A" w:rsidP="0062603A">
      <w:pPr>
        <w:rPr>
          <w:lang w:val="ru-RU"/>
        </w:rPr>
      </w:pPr>
      <w:proofErr w:type="spellStart"/>
      <w:r w:rsidRPr="00C17654">
        <w:rPr>
          <w:lang w:val="ru-RU"/>
        </w:rPr>
        <w:t>Описаното</w:t>
      </w:r>
      <w:proofErr w:type="spellEnd"/>
      <w:r w:rsidRPr="00C17654">
        <w:rPr>
          <w:lang w:val="ru-RU"/>
        </w:rPr>
        <w:t xml:space="preserve"> </w:t>
      </w:r>
      <w:proofErr w:type="spellStart"/>
      <w:r w:rsidRPr="00C17654">
        <w:rPr>
          <w:lang w:val="ru-RU"/>
        </w:rPr>
        <w:t>по-горе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налага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контрола</w:t>
      </w:r>
      <w:proofErr w:type="spellEnd"/>
      <w:r w:rsidRPr="002D37C4">
        <w:rPr>
          <w:lang w:val="ru-RU"/>
        </w:rPr>
        <w:t xml:space="preserve"> </w:t>
      </w:r>
      <w:proofErr w:type="gramStart"/>
      <w:r w:rsidRPr="002D37C4">
        <w:rPr>
          <w:lang w:val="ru-RU"/>
        </w:rPr>
        <w:t xml:space="preserve">на  </w:t>
      </w:r>
      <w:proofErr w:type="spellStart"/>
      <w:r w:rsidRPr="002D37C4">
        <w:rPr>
          <w:lang w:val="ru-RU"/>
        </w:rPr>
        <w:t>следните</w:t>
      </w:r>
      <w:proofErr w:type="spellEnd"/>
      <w:proofErr w:type="gram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радиационни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фактори</w:t>
      </w:r>
      <w:proofErr w:type="spellEnd"/>
      <w:r w:rsidRPr="002D37C4">
        <w:rPr>
          <w:lang w:val="ru-RU"/>
        </w:rPr>
        <w:t>:</w:t>
      </w:r>
    </w:p>
    <w:p w:rsidR="0062603A" w:rsidRPr="003672C9" w:rsidRDefault="0062603A" w:rsidP="0062603A">
      <w:pPr>
        <w:pStyle w:val="a5"/>
        <w:numPr>
          <w:ilvl w:val="0"/>
          <w:numId w:val="5"/>
        </w:numPr>
        <w:rPr>
          <w:lang w:val="ru-RU"/>
        </w:rPr>
      </w:pPr>
      <w:proofErr w:type="spellStart"/>
      <w:r w:rsidRPr="003672C9">
        <w:rPr>
          <w:lang w:val="ru-RU"/>
        </w:rPr>
        <w:t>обемна</w:t>
      </w:r>
      <w:proofErr w:type="spellEnd"/>
      <w:r w:rsidRPr="003672C9">
        <w:rPr>
          <w:lang w:val="ru-RU"/>
        </w:rPr>
        <w:t xml:space="preserve"> </w:t>
      </w:r>
      <w:proofErr w:type="spellStart"/>
      <w:r w:rsidRPr="003672C9">
        <w:rPr>
          <w:lang w:val="ru-RU"/>
        </w:rPr>
        <w:t>активност</w:t>
      </w:r>
      <w:proofErr w:type="spellEnd"/>
      <w:r w:rsidRPr="003672C9">
        <w:rPr>
          <w:lang w:val="ru-RU"/>
        </w:rPr>
        <w:t xml:space="preserve"> на радон-222 (или на </w:t>
      </w:r>
      <w:proofErr w:type="spellStart"/>
      <w:r w:rsidRPr="003672C9">
        <w:rPr>
          <w:lang w:val="ru-RU"/>
        </w:rPr>
        <w:t>късоживущите</w:t>
      </w:r>
      <w:proofErr w:type="spellEnd"/>
      <w:r w:rsidRPr="003672C9">
        <w:rPr>
          <w:lang w:val="ru-RU"/>
        </w:rPr>
        <w:t xml:space="preserve"> </w:t>
      </w:r>
      <w:proofErr w:type="spellStart"/>
      <w:r w:rsidRPr="003672C9">
        <w:rPr>
          <w:lang w:val="ru-RU"/>
        </w:rPr>
        <w:t>му</w:t>
      </w:r>
      <w:proofErr w:type="spellEnd"/>
      <w:r w:rsidRPr="003672C9">
        <w:rPr>
          <w:lang w:val="ru-RU"/>
        </w:rPr>
        <w:t xml:space="preserve"> </w:t>
      </w:r>
      <w:proofErr w:type="spellStart"/>
      <w:r w:rsidRPr="003672C9">
        <w:rPr>
          <w:lang w:val="ru-RU"/>
        </w:rPr>
        <w:t>продукти</w:t>
      </w:r>
      <w:proofErr w:type="spellEnd"/>
      <w:r w:rsidRPr="003672C9">
        <w:rPr>
          <w:lang w:val="ru-RU"/>
        </w:rPr>
        <w:t xml:space="preserve"> на </w:t>
      </w:r>
      <w:proofErr w:type="spellStart"/>
      <w:r w:rsidRPr="003672C9">
        <w:rPr>
          <w:lang w:val="ru-RU"/>
        </w:rPr>
        <w:t>разпадане</w:t>
      </w:r>
      <w:proofErr w:type="spellEnd"/>
      <w:r w:rsidRPr="003672C9">
        <w:rPr>
          <w:lang w:val="ru-RU"/>
        </w:rPr>
        <w:t xml:space="preserve">) - при </w:t>
      </w:r>
      <w:proofErr w:type="spellStart"/>
      <w:r w:rsidRPr="003672C9">
        <w:rPr>
          <w:lang w:val="ru-RU"/>
        </w:rPr>
        <w:t>взривните</w:t>
      </w:r>
      <w:proofErr w:type="spellEnd"/>
      <w:r w:rsidRPr="003672C9">
        <w:rPr>
          <w:lang w:val="ru-RU"/>
        </w:rPr>
        <w:t xml:space="preserve"> </w:t>
      </w:r>
      <w:proofErr w:type="spellStart"/>
      <w:r w:rsidRPr="003672C9">
        <w:rPr>
          <w:lang w:val="ru-RU"/>
        </w:rPr>
        <w:t>работи</w:t>
      </w:r>
      <w:proofErr w:type="spellEnd"/>
      <w:r w:rsidRPr="003672C9">
        <w:rPr>
          <w:lang w:val="ru-RU"/>
        </w:rPr>
        <w:t xml:space="preserve"> на </w:t>
      </w:r>
      <w:proofErr w:type="spellStart"/>
      <w:r w:rsidRPr="003672C9">
        <w:rPr>
          <w:lang w:val="ru-RU"/>
        </w:rPr>
        <w:t>устията</w:t>
      </w:r>
      <w:proofErr w:type="spellEnd"/>
      <w:r w:rsidRPr="003672C9">
        <w:rPr>
          <w:lang w:val="ru-RU"/>
        </w:rPr>
        <w:t xml:space="preserve"> на </w:t>
      </w:r>
      <w:proofErr w:type="spellStart"/>
      <w:r w:rsidRPr="003672C9">
        <w:rPr>
          <w:lang w:val="ru-RU"/>
        </w:rPr>
        <w:t>минни</w:t>
      </w:r>
      <w:proofErr w:type="spellEnd"/>
      <w:r w:rsidRPr="003672C9">
        <w:rPr>
          <w:lang w:val="ru-RU"/>
        </w:rPr>
        <w:t xml:space="preserve"> </w:t>
      </w:r>
      <w:proofErr w:type="spellStart"/>
      <w:r w:rsidRPr="003672C9">
        <w:rPr>
          <w:lang w:val="ru-RU"/>
        </w:rPr>
        <w:t>изработки</w:t>
      </w:r>
      <w:proofErr w:type="spellEnd"/>
      <w:r w:rsidRPr="003672C9">
        <w:rPr>
          <w:lang w:val="ru-RU"/>
        </w:rPr>
        <w:t>;</w:t>
      </w:r>
    </w:p>
    <w:p w:rsidR="0062603A" w:rsidRPr="003672C9" w:rsidRDefault="0062603A" w:rsidP="0062603A">
      <w:pPr>
        <w:pStyle w:val="a5"/>
        <w:numPr>
          <w:ilvl w:val="0"/>
          <w:numId w:val="5"/>
        </w:numPr>
        <w:rPr>
          <w:lang w:val="ru-RU"/>
        </w:rPr>
      </w:pPr>
      <w:proofErr w:type="spellStart"/>
      <w:r w:rsidRPr="003672C9">
        <w:rPr>
          <w:lang w:val="ru-RU"/>
        </w:rPr>
        <w:t>повърхностни</w:t>
      </w:r>
      <w:proofErr w:type="spellEnd"/>
      <w:r w:rsidRPr="003672C9">
        <w:rPr>
          <w:lang w:val="ru-RU"/>
        </w:rPr>
        <w:t xml:space="preserve"> </w:t>
      </w:r>
      <w:proofErr w:type="spellStart"/>
      <w:r w:rsidRPr="003672C9">
        <w:rPr>
          <w:lang w:val="ru-RU"/>
        </w:rPr>
        <w:t>радиоактивни</w:t>
      </w:r>
      <w:proofErr w:type="spellEnd"/>
      <w:r w:rsidRPr="003672C9">
        <w:rPr>
          <w:lang w:val="ru-RU"/>
        </w:rPr>
        <w:t xml:space="preserve"> </w:t>
      </w:r>
      <w:proofErr w:type="spellStart"/>
      <w:r w:rsidRPr="003672C9">
        <w:rPr>
          <w:lang w:val="ru-RU"/>
        </w:rPr>
        <w:t>замърсявания</w:t>
      </w:r>
      <w:proofErr w:type="spellEnd"/>
      <w:r w:rsidRPr="003672C9">
        <w:rPr>
          <w:lang w:val="ru-RU"/>
        </w:rPr>
        <w:t xml:space="preserve"> – при </w:t>
      </w:r>
      <w:proofErr w:type="spellStart"/>
      <w:r w:rsidRPr="003672C9">
        <w:rPr>
          <w:lang w:val="ru-RU"/>
        </w:rPr>
        <w:t>пробиването</w:t>
      </w:r>
      <w:proofErr w:type="spellEnd"/>
      <w:r w:rsidRPr="003672C9">
        <w:rPr>
          <w:lang w:val="ru-RU"/>
        </w:rPr>
        <w:t xml:space="preserve"> на </w:t>
      </w:r>
      <w:proofErr w:type="spellStart"/>
      <w:r w:rsidRPr="003672C9">
        <w:rPr>
          <w:lang w:val="ru-RU"/>
        </w:rPr>
        <w:t>взривни</w:t>
      </w:r>
      <w:proofErr w:type="spellEnd"/>
      <w:r w:rsidRPr="003672C9">
        <w:rPr>
          <w:lang w:val="ru-RU"/>
        </w:rPr>
        <w:t xml:space="preserve"> </w:t>
      </w:r>
      <w:proofErr w:type="spellStart"/>
      <w:r w:rsidRPr="003672C9">
        <w:rPr>
          <w:lang w:val="ru-RU"/>
        </w:rPr>
        <w:t>дупки</w:t>
      </w:r>
      <w:proofErr w:type="spellEnd"/>
      <w:r>
        <w:rPr>
          <w:lang w:val="ru-RU"/>
        </w:rPr>
        <w:t>;</w:t>
      </w:r>
      <w:r w:rsidRPr="003672C9">
        <w:rPr>
          <w:lang w:val="ru-RU"/>
        </w:rPr>
        <w:t xml:space="preserve"> </w:t>
      </w:r>
    </w:p>
    <w:p w:rsidR="0062603A" w:rsidRPr="003672C9" w:rsidRDefault="0062603A" w:rsidP="0062603A">
      <w:pPr>
        <w:pStyle w:val="a5"/>
        <w:numPr>
          <w:ilvl w:val="0"/>
          <w:numId w:val="5"/>
        </w:numPr>
        <w:rPr>
          <w:lang w:val="ru-RU"/>
        </w:rPr>
      </w:pPr>
      <w:proofErr w:type="spellStart"/>
      <w:r w:rsidRPr="003672C9">
        <w:rPr>
          <w:lang w:val="ru-RU"/>
        </w:rPr>
        <w:t>мощност</w:t>
      </w:r>
      <w:proofErr w:type="spellEnd"/>
      <w:r w:rsidRPr="003672C9">
        <w:rPr>
          <w:lang w:val="ru-RU"/>
        </w:rPr>
        <w:t xml:space="preserve"> на </w:t>
      </w:r>
      <w:proofErr w:type="spellStart"/>
      <w:r w:rsidRPr="003672C9">
        <w:rPr>
          <w:lang w:val="ru-RU"/>
        </w:rPr>
        <w:t>дозата</w:t>
      </w:r>
      <w:proofErr w:type="spellEnd"/>
      <w:r w:rsidRPr="003672C9">
        <w:rPr>
          <w:lang w:val="ru-RU"/>
        </w:rPr>
        <w:t xml:space="preserve"> гама-</w:t>
      </w:r>
      <w:proofErr w:type="spellStart"/>
      <w:r w:rsidRPr="003672C9">
        <w:rPr>
          <w:lang w:val="ru-RU"/>
        </w:rPr>
        <w:t>лъчение</w:t>
      </w:r>
      <w:proofErr w:type="spellEnd"/>
      <w:r w:rsidRPr="003672C9">
        <w:rPr>
          <w:lang w:val="ru-RU"/>
        </w:rPr>
        <w:t xml:space="preserve"> – на </w:t>
      </w:r>
      <w:proofErr w:type="spellStart"/>
      <w:r w:rsidRPr="003672C9">
        <w:rPr>
          <w:lang w:val="ru-RU"/>
        </w:rPr>
        <w:t>площите</w:t>
      </w:r>
      <w:proofErr w:type="spellEnd"/>
      <w:r>
        <w:rPr>
          <w:lang w:val="ru-RU"/>
        </w:rPr>
        <w:t>/работни площадки</w:t>
      </w:r>
      <w:r w:rsidRPr="003672C9">
        <w:rPr>
          <w:lang w:val="ru-RU"/>
        </w:rPr>
        <w:t xml:space="preserve"> </w:t>
      </w:r>
      <w:r>
        <w:rPr>
          <w:lang w:val="ru-RU"/>
        </w:rPr>
        <w:t>пред/</w:t>
      </w:r>
      <w:r w:rsidRPr="003672C9">
        <w:rPr>
          <w:lang w:val="ru-RU"/>
        </w:rPr>
        <w:t xml:space="preserve">около </w:t>
      </w:r>
      <w:proofErr w:type="spellStart"/>
      <w:r w:rsidRPr="003672C9">
        <w:rPr>
          <w:lang w:val="ru-RU"/>
        </w:rPr>
        <w:t>устията</w:t>
      </w:r>
      <w:proofErr w:type="spellEnd"/>
      <w:r w:rsidRPr="003672C9">
        <w:rPr>
          <w:lang w:val="ru-RU"/>
        </w:rPr>
        <w:t xml:space="preserve"> на </w:t>
      </w:r>
      <w:proofErr w:type="spellStart"/>
      <w:r>
        <w:rPr>
          <w:lang w:val="ru-RU"/>
        </w:rPr>
        <w:t>минните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изработки</w:t>
      </w:r>
      <w:proofErr w:type="spellEnd"/>
      <w:r w:rsidRPr="003672C9">
        <w:rPr>
          <w:lang w:val="ru-RU"/>
        </w:rPr>
        <w:t>,  на</w:t>
      </w:r>
      <w:proofErr w:type="gramEnd"/>
      <w:r w:rsidRPr="003672C9">
        <w:rPr>
          <w:lang w:val="ru-RU"/>
        </w:rPr>
        <w:t xml:space="preserve"> </w:t>
      </w:r>
      <w:proofErr w:type="spellStart"/>
      <w:r w:rsidRPr="003672C9">
        <w:rPr>
          <w:lang w:val="ru-RU"/>
        </w:rPr>
        <w:t>кои</w:t>
      </w:r>
      <w:r>
        <w:rPr>
          <w:lang w:val="ru-RU"/>
        </w:rPr>
        <w:t>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извършват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работи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изземва</w:t>
      </w:r>
      <w:proofErr w:type="spellEnd"/>
      <w:r>
        <w:rPr>
          <w:lang w:val="ru-RU"/>
        </w:rPr>
        <w:t xml:space="preserve"> материал за </w:t>
      </w:r>
      <w:proofErr w:type="spellStart"/>
      <w:r>
        <w:rPr>
          <w:lang w:val="ru-RU"/>
        </w:rPr>
        <w:t>запълнение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устията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щолните</w:t>
      </w:r>
      <w:proofErr w:type="spellEnd"/>
      <w:r>
        <w:rPr>
          <w:lang w:val="ru-RU"/>
        </w:rPr>
        <w:t>.</w:t>
      </w:r>
    </w:p>
    <w:p w:rsidR="0062603A" w:rsidRPr="002D37C4" w:rsidRDefault="0062603A" w:rsidP="0062603A">
      <w:pPr>
        <w:ind w:firstLine="720"/>
        <w:rPr>
          <w:lang w:val="ru-RU"/>
        </w:rPr>
      </w:pPr>
      <w:proofErr w:type="spellStart"/>
      <w:r w:rsidRPr="002D37C4">
        <w:rPr>
          <w:lang w:val="ru-RU"/>
        </w:rPr>
        <w:t>Съгласно</w:t>
      </w:r>
      <w:proofErr w:type="spellEnd"/>
      <w:r w:rsidRPr="002D37C4">
        <w:rPr>
          <w:lang w:val="ru-RU"/>
        </w:rPr>
        <w:t xml:space="preserve"> Приложение 3 на </w:t>
      </w:r>
      <w:proofErr w:type="spellStart"/>
      <w:r w:rsidRPr="002D37C4">
        <w:rPr>
          <w:lang w:val="ru-RU"/>
        </w:rPr>
        <w:t>същата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наредба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според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активността</w:t>
      </w:r>
      <w:proofErr w:type="spellEnd"/>
      <w:r w:rsidRPr="002D37C4">
        <w:rPr>
          <w:lang w:val="ru-RU"/>
        </w:rPr>
        <w:t xml:space="preserve"> на </w:t>
      </w:r>
      <w:proofErr w:type="spellStart"/>
      <w:r w:rsidRPr="002D37C4">
        <w:rPr>
          <w:lang w:val="ru-RU"/>
        </w:rPr>
        <w:t>съответните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радионуклиди</w:t>
      </w:r>
      <w:proofErr w:type="spellEnd"/>
      <w:r w:rsidRPr="002D37C4">
        <w:rPr>
          <w:lang w:val="ru-RU"/>
        </w:rPr>
        <w:t xml:space="preserve">, </w:t>
      </w:r>
      <w:proofErr w:type="spellStart"/>
      <w:r w:rsidRPr="002D37C4">
        <w:rPr>
          <w:lang w:val="ru-RU"/>
        </w:rPr>
        <w:t>активността</w:t>
      </w:r>
      <w:proofErr w:type="spellEnd"/>
      <w:r w:rsidRPr="002D37C4">
        <w:rPr>
          <w:lang w:val="ru-RU"/>
        </w:rPr>
        <w:t xml:space="preserve"> на </w:t>
      </w:r>
      <w:proofErr w:type="spellStart"/>
      <w:r w:rsidRPr="002D37C4">
        <w:rPr>
          <w:lang w:val="ru-RU"/>
        </w:rPr>
        <w:t>работната</w:t>
      </w:r>
      <w:proofErr w:type="spellEnd"/>
      <w:r w:rsidRPr="002D37C4">
        <w:rPr>
          <w:lang w:val="ru-RU"/>
        </w:rPr>
        <w:t xml:space="preserve"> среда се </w:t>
      </w:r>
      <w:proofErr w:type="spellStart"/>
      <w:r w:rsidRPr="002D37C4">
        <w:rPr>
          <w:lang w:val="ru-RU"/>
        </w:rPr>
        <w:t>определя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като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работи</w:t>
      </w:r>
      <w:proofErr w:type="spellEnd"/>
      <w:r w:rsidRPr="002D37C4">
        <w:rPr>
          <w:lang w:val="ru-RU"/>
        </w:rPr>
        <w:t xml:space="preserve"> от трети </w:t>
      </w:r>
      <w:proofErr w:type="spellStart"/>
      <w:r w:rsidRPr="002D37C4">
        <w:rPr>
          <w:lang w:val="ru-RU"/>
        </w:rPr>
        <w:t>клас</w:t>
      </w:r>
      <w:proofErr w:type="spellEnd"/>
      <w:r w:rsidRPr="002D37C4">
        <w:rPr>
          <w:lang w:val="ru-RU"/>
        </w:rPr>
        <w:t>.</w:t>
      </w:r>
    </w:p>
    <w:p w:rsidR="0062603A" w:rsidRPr="002D37C4" w:rsidRDefault="0062603A" w:rsidP="0062603A">
      <w:pPr>
        <w:ind w:firstLine="720"/>
        <w:rPr>
          <w:lang w:val="ru-RU"/>
        </w:rPr>
      </w:pPr>
      <w:r w:rsidRPr="002D37C4">
        <w:rPr>
          <w:lang w:val="ru-RU"/>
        </w:rPr>
        <w:t xml:space="preserve">Персонала е </w:t>
      </w:r>
      <w:proofErr w:type="gramStart"/>
      <w:r w:rsidRPr="002D37C4">
        <w:rPr>
          <w:lang w:val="ru-RU"/>
        </w:rPr>
        <w:t>от категория</w:t>
      </w:r>
      <w:proofErr w:type="gramEnd"/>
      <w:r w:rsidRPr="002D37C4">
        <w:rPr>
          <w:lang w:val="ru-RU"/>
        </w:rPr>
        <w:t xml:space="preserve"> Б.</w:t>
      </w:r>
    </w:p>
    <w:p w:rsidR="0062603A" w:rsidRPr="002D37C4" w:rsidRDefault="0062603A" w:rsidP="0062603A">
      <w:pPr>
        <w:ind w:firstLine="720"/>
        <w:rPr>
          <w:lang w:val="ru-RU"/>
        </w:rPr>
      </w:pPr>
      <w:r w:rsidRPr="002D37C4">
        <w:rPr>
          <w:lang w:val="ru-RU"/>
        </w:rPr>
        <w:t xml:space="preserve">В </w:t>
      </w:r>
      <w:proofErr w:type="spellStart"/>
      <w:r w:rsidRPr="002D37C4">
        <w:rPr>
          <w:lang w:val="ru-RU"/>
        </w:rPr>
        <w:t>процеса</w:t>
      </w:r>
      <w:proofErr w:type="spellEnd"/>
      <w:r w:rsidRPr="002D37C4">
        <w:rPr>
          <w:lang w:val="ru-RU"/>
        </w:rPr>
        <w:t xml:space="preserve"> на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презатваряне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минните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изработки</w:t>
      </w:r>
      <w:proofErr w:type="spellEnd"/>
      <w:r>
        <w:rPr>
          <w:lang w:val="ru-RU"/>
        </w:rPr>
        <w:t xml:space="preserve"> </w:t>
      </w:r>
      <w:proofErr w:type="spellStart"/>
      <w:r w:rsidRPr="002D37C4">
        <w:rPr>
          <w:lang w:val="ru-RU"/>
        </w:rPr>
        <w:t>няма</w:t>
      </w:r>
      <w:proofErr w:type="spellEnd"/>
      <w:r w:rsidRPr="002D37C4">
        <w:rPr>
          <w:lang w:val="ru-RU"/>
        </w:rPr>
        <w:t xml:space="preserve"> да се </w:t>
      </w:r>
      <w:proofErr w:type="spellStart"/>
      <w:r w:rsidRPr="002D37C4">
        <w:rPr>
          <w:lang w:val="ru-RU"/>
        </w:rPr>
        <w:t>генерират</w:t>
      </w:r>
      <w:proofErr w:type="spellEnd"/>
      <w:r w:rsidRPr="002D37C4">
        <w:rPr>
          <w:lang w:val="ru-RU"/>
        </w:rPr>
        <w:t xml:space="preserve"> </w:t>
      </w:r>
      <w:proofErr w:type="gramStart"/>
      <w:r w:rsidRPr="002D37C4">
        <w:rPr>
          <w:lang w:val="ru-RU"/>
        </w:rPr>
        <w:t>нови  ИЙЛ</w:t>
      </w:r>
      <w:proofErr w:type="gramEnd"/>
      <w:r w:rsidRPr="002D37C4">
        <w:rPr>
          <w:lang w:val="ru-RU"/>
        </w:rPr>
        <w:t xml:space="preserve"> или РАО.</w:t>
      </w:r>
    </w:p>
    <w:p w:rsidR="0062603A" w:rsidRPr="003672C9" w:rsidRDefault="0062603A" w:rsidP="0062603A">
      <w:r w:rsidRPr="003672C9">
        <w:t xml:space="preserve">За активността на установените </w:t>
      </w:r>
      <w:proofErr w:type="spellStart"/>
      <w:r w:rsidRPr="003672C9">
        <w:t>радионуклиди</w:t>
      </w:r>
      <w:proofErr w:type="spellEnd"/>
      <w:r w:rsidRPr="003672C9">
        <w:t xml:space="preserve"> (уран, радий и торий), концентрация на радон и мощност на дозата гама-лъчение съществуват вторични граници за целите на р</w:t>
      </w:r>
      <w:r>
        <w:t>адиационната защита (НОНРЗ – 2012</w:t>
      </w:r>
      <w:r w:rsidRPr="003672C9">
        <w:t>, Прил.2).</w:t>
      </w:r>
    </w:p>
    <w:p w:rsidR="0062603A" w:rsidRPr="004F46A7" w:rsidRDefault="0062603A" w:rsidP="0062603A">
      <w:r w:rsidRPr="004F46A7">
        <w:t xml:space="preserve"> </w:t>
      </w:r>
      <w:r>
        <w:t xml:space="preserve">За </w:t>
      </w:r>
      <w:r w:rsidRPr="004F46A7">
        <w:t xml:space="preserve">защита от външно облъчване при нормална продължителност на пребиваване в прилежащата територия </w:t>
      </w:r>
      <w:r>
        <w:t>да се пазва граница</w:t>
      </w:r>
      <w:r w:rsidRPr="004F46A7">
        <w:t xml:space="preserve"> на мощността на еквивалентната доза за персонал от категория </w:t>
      </w:r>
      <w:r>
        <w:t>Б – 6</w:t>
      </w:r>
      <w:r w:rsidRPr="004F46A7">
        <w:t xml:space="preserve"> </w:t>
      </w:r>
      <w:r>
        <w:rPr>
          <w:lang w:val="en-US"/>
        </w:rPr>
        <w:t>m</w:t>
      </w:r>
      <w:proofErr w:type="spellStart"/>
      <w:r>
        <w:t>Sv</w:t>
      </w:r>
      <w:proofErr w:type="spellEnd"/>
      <w:r>
        <w:t xml:space="preserve"> за година. </w:t>
      </w:r>
    </w:p>
    <w:p w:rsidR="0062603A" w:rsidRPr="004F46A7" w:rsidRDefault="0062603A" w:rsidP="0062603A">
      <w:pPr>
        <w:pStyle w:val="4"/>
        <w:numPr>
          <w:ilvl w:val="3"/>
          <w:numId w:val="0"/>
        </w:numPr>
        <w:tabs>
          <w:tab w:val="num" w:pos="1296"/>
        </w:tabs>
        <w:ind w:left="1296" w:hanging="864"/>
        <w:rPr>
          <w:color w:val="auto"/>
        </w:rPr>
      </w:pPr>
      <w:bookmarkStart w:id="20" w:name="_Toc115067720"/>
      <w:bookmarkStart w:id="21" w:name="_Toc115067911"/>
      <w:bookmarkStart w:id="22" w:name="_Toc119317238"/>
    </w:p>
    <w:p w:rsidR="0062603A" w:rsidRPr="00972CF9" w:rsidRDefault="0062603A" w:rsidP="0062603A">
      <w:pPr>
        <w:pStyle w:val="4"/>
        <w:numPr>
          <w:ilvl w:val="3"/>
          <w:numId w:val="0"/>
        </w:numPr>
        <w:tabs>
          <w:tab w:val="num" w:pos="432"/>
        </w:tabs>
        <w:ind w:left="1296" w:hanging="864"/>
      </w:pPr>
      <w:r w:rsidRPr="004F46A7">
        <w:rPr>
          <w:color w:val="auto"/>
        </w:rPr>
        <w:t>Н</w:t>
      </w:r>
      <w:proofErr w:type="spellStart"/>
      <w:r w:rsidRPr="004F46A7">
        <w:rPr>
          <w:color w:val="auto"/>
          <w:lang w:val="bg-BG"/>
        </w:rPr>
        <w:t>орми</w:t>
      </w:r>
      <w:proofErr w:type="spellEnd"/>
      <w:r w:rsidRPr="004F46A7">
        <w:rPr>
          <w:color w:val="auto"/>
        </w:rPr>
        <w:t xml:space="preserve"> за </w:t>
      </w:r>
      <w:proofErr w:type="spellStart"/>
      <w:r w:rsidRPr="004F46A7">
        <w:rPr>
          <w:color w:val="auto"/>
        </w:rPr>
        <w:t>радиационна</w:t>
      </w:r>
      <w:proofErr w:type="spellEnd"/>
      <w:r w:rsidRPr="004F46A7">
        <w:rPr>
          <w:color w:val="auto"/>
        </w:rPr>
        <w:t xml:space="preserve"> защит</w:t>
      </w:r>
      <w:bookmarkEnd w:id="20"/>
      <w:bookmarkEnd w:id="21"/>
      <w:r w:rsidRPr="004F46A7">
        <w:rPr>
          <w:color w:val="auto"/>
        </w:rPr>
        <w:t xml:space="preserve">а при </w:t>
      </w:r>
      <w:proofErr w:type="spellStart"/>
      <w:r w:rsidRPr="004F46A7">
        <w:rPr>
          <w:color w:val="auto"/>
        </w:rPr>
        <w:t>ликвиди</w:t>
      </w:r>
      <w:r>
        <w:rPr>
          <w:color w:val="auto"/>
        </w:rPr>
        <w:t>ране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последствията</w:t>
      </w:r>
      <w:proofErr w:type="spellEnd"/>
      <w:r>
        <w:rPr>
          <w:color w:val="auto"/>
        </w:rPr>
        <w:t xml:space="preserve"> от </w:t>
      </w:r>
      <w:proofErr w:type="spellStart"/>
      <w:r>
        <w:rPr>
          <w:color w:val="auto"/>
        </w:rPr>
        <w:t>урановата</w:t>
      </w:r>
      <w:proofErr w:type="spellEnd"/>
      <w:r>
        <w:rPr>
          <w:color w:val="auto"/>
        </w:rPr>
        <w:t xml:space="preserve"> </w:t>
      </w:r>
      <w:proofErr w:type="spellStart"/>
      <w:r w:rsidRPr="00972CF9">
        <w:t>промишленост</w:t>
      </w:r>
      <w:bookmarkEnd w:id="22"/>
      <w:proofErr w:type="spellEnd"/>
    </w:p>
    <w:p w:rsidR="0062603A" w:rsidRPr="00972CF9" w:rsidRDefault="0062603A" w:rsidP="0062603A">
      <w:pPr>
        <w:ind w:firstLine="432"/>
      </w:pPr>
      <w:proofErr w:type="spellStart"/>
      <w:r w:rsidRPr="004F46A7">
        <w:rPr>
          <w:lang w:val="ru-RU"/>
        </w:rPr>
        <w:t>Нормите</w:t>
      </w:r>
      <w:proofErr w:type="spellEnd"/>
      <w:r w:rsidRPr="004F46A7">
        <w:rPr>
          <w:lang w:val="ru-RU"/>
        </w:rPr>
        <w:t xml:space="preserve"> </w:t>
      </w:r>
      <w:proofErr w:type="spellStart"/>
      <w:r w:rsidRPr="004F46A7">
        <w:rPr>
          <w:lang w:val="ru-RU"/>
        </w:rPr>
        <w:t>са</w:t>
      </w:r>
      <w:proofErr w:type="spellEnd"/>
      <w:r w:rsidRPr="004F46A7">
        <w:rPr>
          <w:lang w:val="ru-RU"/>
        </w:rPr>
        <w:t xml:space="preserve"> </w:t>
      </w:r>
      <w:proofErr w:type="spellStart"/>
      <w:r w:rsidRPr="004F46A7">
        <w:rPr>
          <w:lang w:val="ru-RU"/>
        </w:rPr>
        <w:t>съгласно</w:t>
      </w:r>
      <w:proofErr w:type="spellEnd"/>
      <w:r w:rsidRPr="004F46A7">
        <w:rPr>
          <w:lang w:val="ru-RU"/>
        </w:rPr>
        <w:t xml:space="preserve"> </w:t>
      </w:r>
      <w:proofErr w:type="spellStart"/>
      <w:r w:rsidRPr="004F46A7">
        <w:rPr>
          <w:lang w:val="ru-RU"/>
        </w:rPr>
        <w:t>Наредба</w:t>
      </w:r>
      <w:proofErr w:type="spellEnd"/>
      <w:r w:rsidRPr="004F46A7">
        <w:rPr>
          <w:lang w:val="ru-RU"/>
        </w:rPr>
        <w:t xml:space="preserve"> №1 от 01.05.1999 г. за </w:t>
      </w:r>
      <w:proofErr w:type="spellStart"/>
      <w:r w:rsidRPr="004F46A7">
        <w:rPr>
          <w:lang w:val="ru-RU"/>
        </w:rPr>
        <w:t>норми</w:t>
      </w:r>
      <w:proofErr w:type="spellEnd"/>
      <w:r w:rsidRPr="004F46A7">
        <w:rPr>
          <w:lang w:val="ru-RU"/>
        </w:rPr>
        <w:t xml:space="preserve"> за целите на </w:t>
      </w:r>
      <w:proofErr w:type="spellStart"/>
      <w:r w:rsidRPr="002D37C4">
        <w:rPr>
          <w:lang w:val="ru-RU"/>
        </w:rPr>
        <w:t>радиационна</w:t>
      </w:r>
      <w:proofErr w:type="spellEnd"/>
      <w:r w:rsidRPr="002D37C4">
        <w:rPr>
          <w:lang w:val="ru-RU"/>
        </w:rPr>
        <w:t xml:space="preserve"> защита и </w:t>
      </w:r>
      <w:proofErr w:type="spellStart"/>
      <w:r w:rsidRPr="002D37C4">
        <w:rPr>
          <w:lang w:val="ru-RU"/>
        </w:rPr>
        <w:t>безопасност</w:t>
      </w:r>
      <w:proofErr w:type="spellEnd"/>
      <w:r w:rsidRPr="002D37C4">
        <w:rPr>
          <w:lang w:val="ru-RU"/>
        </w:rPr>
        <w:t xml:space="preserve"> при </w:t>
      </w:r>
      <w:proofErr w:type="spellStart"/>
      <w:r w:rsidRPr="002D37C4">
        <w:rPr>
          <w:lang w:val="ru-RU"/>
        </w:rPr>
        <w:t>ликвидиране</w:t>
      </w:r>
      <w:proofErr w:type="spellEnd"/>
      <w:r w:rsidRPr="002D37C4">
        <w:rPr>
          <w:lang w:val="ru-RU"/>
        </w:rPr>
        <w:t xml:space="preserve"> на </w:t>
      </w:r>
      <w:proofErr w:type="spellStart"/>
      <w:r w:rsidRPr="002D37C4">
        <w:rPr>
          <w:lang w:val="ru-RU"/>
        </w:rPr>
        <w:t>последствията</w:t>
      </w:r>
      <w:proofErr w:type="spellEnd"/>
      <w:r w:rsidRPr="002D37C4">
        <w:rPr>
          <w:lang w:val="ru-RU"/>
        </w:rPr>
        <w:t xml:space="preserve"> от </w:t>
      </w:r>
      <w:proofErr w:type="spellStart"/>
      <w:r w:rsidRPr="002D37C4">
        <w:rPr>
          <w:lang w:val="ru-RU"/>
        </w:rPr>
        <w:t>урановата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промишленост</w:t>
      </w:r>
      <w:proofErr w:type="spellEnd"/>
      <w:r w:rsidRPr="002D37C4">
        <w:rPr>
          <w:lang w:val="ru-RU"/>
        </w:rPr>
        <w:t xml:space="preserve"> в </w:t>
      </w:r>
      <w:proofErr w:type="spellStart"/>
      <w:r w:rsidRPr="002D37C4">
        <w:rPr>
          <w:lang w:val="ru-RU"/>
        </w:rPr>
        <w:t>Република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България</w:t>
      </w:r>
      <w:proofErr w:type="spellEnd"/>
      <w:r w:rsidRPr="002D37C4">
        <w:rPr>
          <w:lang w:val="ru-RU"/>
        </w:rPr>
        <w:t xml:space="preserve">. </w:t>
      </w:r>
      <w:proofErr w:type="spellStart"/>
      <w:r w:rsidRPr="002D37C4">
        <w:rPr>
          <w:lang w:val="ru-RU"/>
        </w:rPr>
        <w:t>Това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са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стойностите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според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наредбата</w:t>
      </w:r>
      <w:proofErr w:type="spellEnd"/>
      <w:r w:rsidRPr="002D37C4">
        <w:rPr>
          <w:lang w:val="ru-RU"/>
        </w:rPr>
        <w:t xml:space="preserve"> по т.3 от </w:t>
      </w:r>
      <w:proofErr w:type="spellStart"/>
      <w:r w:rsidRPr="002D37C4">
        <w:rPr>
          <w:lang w:val="ru-RU"/>
        </w:rPr>
        <w:t>Прил</w:t>
      </w:r>
      <w:proofErr w:type="spellEnd"/>
      <w:r w:rsidRPr="002D37C4">
        <w:rPr>
          <w:lang w:val="ru-RU"/>
        </w:rPr>
        <w:t xml:space="preserve"> 2 и 3 за </w:t>
      </w:r>
      <w:proofErr w:type="spellStart"/>
      <w:r w:rsidRPr="002D37C4">
        <w:rPr>
          <w:lang w:val="ru-RU"/>
        </w:rPr>
        <w:t>затревяване</w:t>
      </w:r>
      <w:proofErr w:type="spellEnd"/>
      <w:r w:rsidRPr="002D37C4">
        <w:rPr>
          <w:lang w:val="ru-RU"/>
        </w:rPr>
        <w:t xml:space="preserve"> и </w:t>
      </w:r>
      <w:proofErr w:type="spellStart"/>
      <w:r w:rsidRPr="002D37C4">
        <w:rPr>
          <w:lang w:val="ru-RU"/>
        </w:rPr>
        <w:t>залесяване</w:t>
      </w:r>
      <w:proofErr w:type="spellEnd"/>
      <w:r w:rsidRPr="002D37C4">
        <w:rPr>
          <w:lang w:val="ru-RU"/>
        </w:rPr>
        <w:t xml:space="preserve"> на </w:t>
      </w:r>
      <w:proofErr w:type="spellStart"/>
      <w:r w:rsidRPr="002D37C4">
        <w:rPr>
          <w:lang w:val="ru-RU"/>
        </w:rPr>
        <w:t>рекултивирани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скални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насипища</w:t>
      </w:r>
      <w:proofErr w:type="spellEnd"/>
      <w:r w:rsidRPr="002D37C4">
        <w:rPr>
          <w:lang w:val="ru-RU"/>
        </w:rPr>
        <w:t xml:space="preserve"> и </w:t>
      </w:r>
      <w:proofErr w:type="spellStart"/>
      <w:r w:rsidRPr="002D37C4">
        <w:rPr>
          <w:lang w:val="ru-RU"/>
        </w:rPr>
        <w:t>отпадъкохранилища</w:t>
      </w:r>
      <w:proofErr w:type="spellEnd"/>
      <w:r w:rsidRPr="002D37C4">
        <w:rPr>
          <w:lang w:val="ru-RU"/>
        </w:rPr>
        <w:t xml:space="preserve"> и за </w:t>
      </w:r>
      <w:proofErr w:type="spellStart"/>
      <w:r w:rsidRPr="002D37C4">
        <w:rPr>
          <w:lang w:val="ru-RU"/>
        </w:rPr>
        <w:t>горски</w:t>
      </w:r>
      <w:proofErr w:type="spellEnd"/>
      <w:r w:rsidRPr="002D37C4">
        <w:rPr>
          <w:lang w:val="ru-RU"/>
        </w:rPr>
        <w:t xml:space="preserve"> </w:t>
      </w:r>
      <w:proofErr w:type="spellStart"/>
      <w:r w:rsidRPr="002D37C4">
        <w:rPr>
          <w:lang w:val="ru-RU"/>
        </w:rPr>
        <w:t>масиви</w:t>
      </w:r>
      <w:proofErr w:type="spellEnd"/>
      <w:r w:rsidRPr="002D37C4">
        <w:rPr>
          <w:lang w:val="ru-RU"/>
        </w:rPr>
        <w:t xml:space="preserve">. </w:t>
      </w:r>
      <w:r w:rsidRPr="00972CF9">
        <w:t>Те са както следва:</w:t>
      </w:r>
    </w:p>
    <w:p w:rsidR="0062603A" w:rsidRPr="00972CF9" w:rsidRDefault="0062603A" w:rsidP="0062603A">
      <w:pPr>
        <w:pStyle w:val="a5"/>
        <w:numPr>
          <w:ilvl w:val="0"/>
          <w:numId w:val="6"/>
        </w:numPr>
      </w:pPr>
      <w:r w:rsidRPr="00972CF9">
        <w:t xml:space="preserve">Мощност на дозата гама лъчение: 700 </w:t>
      </w:r>
      <w:proofErr w:type="spellStart"/>
      <w:r w:rsidRPr="00972CF9">
        <w:t>nGy</w:t>
      </w:r>
      <w:proofErr w:type="spellEnd"/>
      <w:r w:rsidRPr="00972CF9">
        <w:t>/h</w:t>
      </w:r>
    </w:p>
    <w:p w:rsidR="0062603A" w:rsidRPr="00972CF9" w:rsidRDefault="0062603A" w:rsidP="0062603A">
      <w:pPr>
        <w:pStyle w:val="a5"/>
        <w:numPr>
          <w:ilvl w:val="0"/>
          <w:numId w:val="6"/>
        </w:numPr>
      </w:pPr>
      <w:r w:rsidRPr="00972CF9">
        <w:t xml:space="preserve">Специфична активност на естествени </w:t>
      </w:r>
      <w:proofErr w:type="spellStart"/>
      <w:r w:rsidRPr="00972CF9">
        <w:t>радионуклиди</w:t>
      </w:r>
      <w:proofErr w:type="spellEnd"/>
      <w:r w:rsidRPr="00972CF9">
        <w:t xml:space="preserve">: 1000 </w:t>
      </w:r>
      <w:proofErr w:type="spellStart"/>
      <w:r w:rsidRPr="00972CF9">
        <w:t>Bq</w:t>
      </w:r>
      <w:proofErr w:type="spellEnd"/>
      <w:r w:rsidRPr="00972CF9">
        <w:t>/</w:t>
      </w:r>
      <w:proofErr w:type="spellStart"/>
      <w:r w:rsidRPr="00972CF9">
        <w:t>kg</w:t>
      </w:r>
      <w:proofErr w:type="spellEnd"/>
    </w:p>
    <w:p w:rsidR="0062603A" w:rsidRPr="00972CF9" w:rsidRDefault="0062603A" w:rsidP="0062603A">
      <w:pPr>
        <w:pStyle w:val="a5"/>
        <w:numPr>
          <w:ilvl w:val="0"/>
          <w:numId w:val="6"/>
        </w:numPr>
      </w:pPr>
      <w:r w:rsidRPr="00972CF9">
        <w:lastRenderedPageBreak/>
        <w:t xml:space="preserve">Обемна активност на радон-222 във въздух: 80 </w:t>
      </w:r>
      <w:proofErr w:type="spellStart"/>
      <w:r w:rsidRPr="00972CF9">
        <w:t>Bq</w:t>
      </w:r>
      <w:proofErr w:type="spellEnd"/>
      <w:r w:rsidRPr="00972CF9">
        <w:t>/m3</w:t>
      </w:r>
    </w:p>
    <w:p w:rsidR="0062603A" w:rsidRPr="002D37C4" w:rsidRDefault="0062603A" w:rsidP="0062603A">
      <w:r w:rsidRPr="002D37C4">
        <w:t>Контролните нива за показателя специфична повърхностна активност на строителни материали, метални и други отпадъци, транспортни средства, машини и съоръжения  са:</w:t>
      </w:r>
    </w:p>
    <w:p w:rsidR="0062603A" w:rsidRPr="00972CF9" w:rsidRDefault="0062603A" w:rsidP="0062603A">
      <w:r w:rsidRPr="00972CF9">
        <w:t>Метални и други отпадъци:</w:t>
      </w:r>
    </w:p>
    <w:p w:rsidR="0062603A" w:rsidRPr="00972CF9" w:rsidRDefault="0062603A" w:rsidP="0062603A">
      <w:pPr>
        <w:pStyle w:val="a5"/>
        <w:numPr>
          <w:ilvl w:val="0"/>
          <w:numId w:val="7"/>
        </w:numPr>
      </w:pPr>
      <w:r w:rsidRPr="00972CF9">
        <w:t xml:space="preserve">за използване без ограничения (с изключение на хранително-вкусовата промишленост и питейно водоснабдяване)-  бета-замърсяване  до 0,05 </w:t>
      </w:r>
      <w:proofErr w:type="spellStart"/>
      <w:r w:rsidRPr="00972CF9">
        <w:t>Bq</w:t>
      </w:r>
      <w:proofErr w:type="spellEnd"/>
      <w:r w:rsidRPr="00972CF9">
        <w:t>/cm</w:t>
      </w:r>
      <w:r w:rsidRPr="004F46A7">
        <w:rPr>
          <w:vertAlign w:val="superscript"/>
        </w:rPr>
        <w:t>2</w:t>
      </w:r>
      <w:r w:rsidRPr="00972CF9">
        <w:t>;</w:t>
      </w:r>
    </w:p>
    <w:p w:rsidR="0062603A" w:rsidRPr="00972CF9" w:rsidRDefault="0062603A" w:rsidP="0062603A">
      <w:pPr>
        <w:pStyle w:val="a5"/>
        <w:numPr>
          <w:ilvl w:val="0"/>
          <w:numId w:val="7"/>
        </w:numPr>
      </w:pPr>
      <w:r w:rsidRPr="00972CF9">
        <w:t xml:space="preserve">за съхранение върху контролирани площи – бета-замърсяване от 5,00 до 25,00 </w:t>
      </w:r>
      <w:proofErr w:type="spellStart"/>
      <w:r w:rsidRPr="00972CF9">
        <w:t>Bq</w:t>
      </w:r>
      <w:proofErr w:type="spellEnd"/>
      <w:r w:rsidRPr="00972CF9">
        <w:t>/cm</w:t>
      </w:r>
      <w:r w:rsidRPr="004F46A7">
        <w:rPr>
          <w:vertAlign w:val="superscript"/>
        </w:rPr>
        <w:t>2</w:t>
      </w:r>
      <w:r w:rsidRPr="00972CF9">
        <w:t>;</w:t>
      </w:r>
    </w:p>
    <w:p w:rsidR="0062603A" w:rsidRPr="00972CF9" w:rsidRDefault="0062603A" w:rsidP="0062603A">
      <w:pPr>
        <w:pStyle w:val="a5"/>
        <w:numPr>
          <w:ilvl w:val="0"/>
          <w:numId w:val="7"/>
        </w:numPr>
      </w:pPr>
      <w:r w:rsidRPr="00972CF9">
        <w:t xml:space="preserve">отделно решение за всеки конкретен случай -  бета-замърсяване над 25,00  </w:t>
      </w:r>
      <w:proofErr w:type="spellStart"/>
      <w:r w:rsidRPr="00972CF9">
        <w:t>Bq</w:t>
      </w:r>
      <w:proofErr w:type="spellEnd"/>
      <w:r w:rsidRPr="00972CF9">
        <w:t>/cm</w:t>
      </w:r>
      <w:r w:rsidRPr="004F46A7">
        <w:rPr>
          <w:vertAlign w:val="superscript"/>
        </w:rPr>
        <w:t>2</w:t>
      </w:r>
      <w:r w:rsidRPr="00972CF9">
        <w:t>.</w:t>
      </w:r>
    </w:p>
    <w:p w:rsidR="0062603A" w:rsidRPr="00972CF9" w:rsidRDefault="0062603A" w:rsidP="0062603A">
      <w:pPr>
        <w:pStyle w:val="a5"/>
        <w:numPr>
          <w:ilvl w:val="0"/>
          <w:numId w:val="7"/>
        </w:numPr>
      </w:pPr>
      <w:r w:rsidRPr="00972CF9">
        <w:t xml:space="preserve">За транспортни средства, машини и съоръжения, специфичната повърхностна бета активност не трябва да надвишава 5,00 </w:t>
      </w:r>
      <w:proofErr w:type="spellStart"/>
      <w:r w:rsidRPr="00972CF9">
        <w:t>Bq</w:t>
      </w:r>
      <w:proofErr w:type="spellEnd"/>
      <w:r w:rsidRPr="00972CF9">
        <w:t>/cm</w:t>
      </w:r>
      <w:r w:rsidRPr="004F46A7">
        <w:rPr>
          <w:vertAlign w:val="superscript"/>
        </w:rPr>
        <w:t>2</w:t>
      </w:r>
      <w:r w:rsidRPr="00972CF9">
        <w:t>.</w:t>
      </w:r>
    </w:p>
    <w:p w:rsidR="0062603A" w:rsidRPr="00972CF9" w:rsidRDefault="0062603A" w:rsidP="0062603A">
      <w:pPr>
        <w:pStyle w:val="4"/>
        <w:numPr>
          <w:ilvl w:val="3"/>
          <w:numId w:val="0"/>
        </w:numPr>
        <w:tabs>
          <w:tab w:val="num" w:pos="1296"/>
        </w:tabs>
        <w:ind w:left="1296" w:hanging="864"/>
      </w:pPr>
      <w:bookmarkStart w:id="23" w:name="_Toc115067721"/>
      <w:bookmarkStart w:id="24" w:name="_Toc115067912"/>
      <w:bookmarkStart w:id="25" w:name="_Toc119317239"/>
      <w:proofErr w:type="spellStart"/>
      <w:r w:rsidRPr="00972CF9">
        <w:t>Изисквания</w:t>
      </w:r>
      <w:proofErr w:type="spellEnd"/>
      <w:r w:rsidRPr="00972CF9">
        <w:t xml:space="preserve"> </w:t>
      </w:r>
      <w:proofErr w:type="spellStart"/>
      <w:r w:rsidRPr="00972CF9">
        <w:t>към</w:t>
      </w:r>
      <w:proofErr w:type="spellEnd"/>
      <w:r w:rsidRPr="00972CF9">
        <w:t xml:space="preserve"> </w:t>
      </w:r>
      <w:proofErr w:type="spellStart"/>
      <w:r w:rsidRPr="00972CF9">
        <w:t>средствата</w:t>
      </w:r>
      <w:proofErr w:type="spellEnd"/>
      <w:r w:rsidRPr="00972CF9">
        <w:t xml:space="preserve"> за </w:t>
      </w:r>
      <w:proofErr w:type="spellStart"/>
      <w:r w:rsidRPr="00972CF9">
        <w:t>измерване</w:t>
      </w:r>
      <w:bookmarkEnd w:id="23"/>
      <w:bookmarkEnd w:id="24"/>
      <w:bookmarkEnd w:id="25"/>
      <w:proofErr w:type="spellEnd"/>
    </w:p>
    <w:p w:rsidR="0062603A" w:rsidRPr="004F46A7" w:rsidRDefault="0062603A" w:rsidP="0062603A">
      <w:pPr>
        <w:pStyle w:val="a5"/>
        <w:numPr>
          <w:ilvl w:val="0"/>
          <w:numId w:val="8"/>
        </w:numPr>
        <w:rPr>
          <w:lang w:val="ru-RU"/>
        </w:rPr>
      </w:pPr>
      <w:proofErr w:type="spellStart"/>
      <w:r w:rsidRPr="004F46A7">
        <w:rPr>
          <w:lang w:val="ru-RU"/>
        </w:rPr>
        <w:t>Средствата</w:t>
      </w:r>
      <w:proofErr w:type="spellEnd"/>
      <w:r w:rsidRPr="004F46A7">
        <w:rPr>
          <w:lang w:val="ru-RU"/>
        </w:rPr>
        <w:t xml:space="preserve"> за </w:t>
      </w:r>
      <w:proofErr w:type="spellStart"/>
      <w:r w:rsidRPr="004F46A7">
        <w:rPr>
          <w:lang w:val="ru-RU"/>
        </w:rPr>
        <w:t>измерване</w:t>
      </w:r>
      <w:proofErr w:type="spellEnd"/>
      <w:r w:rsidRPr="004F46A7">
        <w:rPr>
          <w:lang w:val="ru-RU"/>
        </w:rPr>
        <w:t xml:space="preserve"> </w:t>
      </w:r>
      <w:proofErr w:type="spellStart"/>
      <w:r w:rsidRPr="004F46A7">
        <w:rPr>
          <w:lang w:val="ru-RU"/>
        </w:rPr>
        <w:t>трябва</w:t>
      </w:r>
      <w:proofErr w:type="spellEnd"/>
      <w:r w:rsidRPr="004F46A7">
        <w:rPr>
          <w:lang w:val="ru-RU"/>
        </w:rPr>
        <w:t xml:space="preserve"> да </w:t>
      </w:r>
      <w:proofErr w:type="spellStart"/>
      <w:r w:rsidRPr="004F46A7">
        <w:rPr>
          <w:lang w:val="ru-RU"/>
        </w:rPr>
        <w:t>позволяват</w:t>
      </w:r>
      <w:proofErr w:type="spellEnd"/>
      <w:r w:rsidRPr="004F46A7">
        <w:rPr>
          <w:lang w:val="ru-RU"/>
        </w:rPr>
        <w:t xml:space="preserve"> </w:t>
      </w:r>
      <w:proofErr w:type="spellStart"/>
      <w:r w:rsidRPr="004F46A7">
        <w:rPr>
          <w:lang w:val="ru-RU"/>
        </w:rPr>
        <w:t>определяне</w:t>
      </w:r>
      <w:proofErr w:type="spellEnd"/>
      <w:r w:rsidRPr="004F46A7">
        <w:rPr>
          <w:lang w:val="ru-RU"/>
        </w:rPr>
        <w:t xml:space="preserve"> на </w:t>
      </w:r>
      <w:proofErr w:type="spellStart"/>
      <w:r w:rsidRPr="004F46A7">
        <w:rPr>
          <w:lang w:val="ru-RU"/>
        </w:rPr>
        <w:t>стойности</w:t>
      </w:r>
      <w:proofErr w:type="spellEnd"/>
      <w:r w:rsidRPr="004F46A7">
        <w:rPr>
          <w:lang w:val="ru-RU"/>
        </w:rPr>
        <w:t xml:space="preserve">, </w:t>
      </w:r>
      <w:proofErr w:type="spellStart"/>
      <w:r w:rsidRPr="004F46A7">
        <w:rPr>
          <w:lang w:val="ru-RU"/>
        </w:rPr>
        <w:t>съответстващи</w:t>
      </w:r>
      <w:proofErr w:type="spellEnd"/>
      <w:r w:rsidRPr="004F46A7">
        <w:rPr>
          <w:lang w:val="ru-RU"/>
        </w:rPr>
        <w:t xml:space="preserve"> на </w:t>
      </w:r>
      <w:proofErr w:type="spellStart"/>
      <w:r w:rsidRPr="004F46A7">
        <w:rPr>
          <w:lang w:val="ru-RU"/>
        </w:rPr>
        <w:t>контролните</w:t>
      </w:r>
      <w:proofErr w:type="spellEnd"/>
      <w:r w:rsidRPr="004F46A7">
        <w:rPr>
          <w:lang w:val="ru-RU"/>
        </w:rPr>
        <w:t xml:space="preserve"> нива с </w:t>
      </w:r>
      <w:proofErr w:type="spellStart"/>
      <w:r w:rsidRPr="004F46A7">
        <w:rPr>
          <w:lang w:val="ru-RU"/>
        </w:rPr>
        <w:t>относителна</w:t>
      </w:r>
      <w:proofErr w:type="spellEnd"/>
      <w:r w:rsidRPr="004F46A7">
        <w:rPr>
          <w:lang w:val="ru-RU"/>
        </w:rPr>
        <w:t xml:space="preserve"> </w:t>
      </w:r>
      <w:proofErr w:type="spellStart"/>
      <w:r w:rsidRPr="004F46A7">
        <w:rPr>
          <w:lang w:val="ru-RU"/>
        </w:rPr>
        <w:t>неопределеност</w:t>
      </w:r>
      <w:proofErr w:type="spellEnd"/>
      <w:r w:rsidRPr="004F46A7">
        <w:rPr>
          <w:lang w:val="ru-RU"/>
        </w:rPr>
        <w:t xml:space="preserve"> не </w:t>
      </w:r>
      <w:proofErr w:type="spellStart"/>
      <w:r w:rsidRPr="004F46A7">
        <w:rPr>
          <w:lang w:val="ru-RU"/>
        </w:rPr>
        <w:t>по-голяма</w:t>
      </w:r>
      <w:proofErr w:type="spellEnd"/>
      <w:r w:rsidRPr="004F46A7">
        <w:rPr>
          <w:lang w:val="ru-RU"/>
        </w:rPr>
        <w:t xml:space="preserve"> от 30%. </w:t>
      </w:r>
      <w:proofErr w:type="spellStart"/>
      <w:r w:rsidRPr="004F46A7">
        <w:rPr>
          <w:lang w:val="ru-RU"/>
        </w:rPr>
        <w:t>Минимално-детектируемите</w:t>
      </w:r>
      <w:proofErr w:type="spellEnd"/>
      <w:r w:rsidRPr="004F46A7">
        <w:rPr>
          <w:lang w:val="ru-RU"/>
        </w:rPr>
        <w:t xml:space="preserve"> нива </w:t>
      </w:r>
      <w:proofErr w:type="spellStart"/>
      <w:r w:rsidRPr="004F46A7">
        <w:rPr>
          <w:lang w:val="ru-RU"/>
        </w:rPr>
        <w:t>трябва</w:t>
      </w:r>
      <w:proofErr w:type="spellEnd"/>
      <w:r w:rsidRPr="004F46A7">
        <w:rPr>
          <w:lang w:val="ru-RU"/>
        </w:rPr>
        <w:t xml:space="preserve"> да </w:t>
      </w:r>
      <w:proofErr w:type="spellStart"/>
      <w:r w:rsidRPr="004F46A7">
        <w:rPr>
          <w:lang w:val="ru-RU"/>
        </w:rPr>
        <w:t>са</w:t>
      </w:r>
      <w:proofErr w:type="spellEnd"/>
      <w:r w:rsidRPr="004F46A7">
        <w:rPr>
          <w:lang w:val="ru-RU"/>
        </w:rPr>
        <w:t xml:space="preserve"> не </w:t>
      </w:r>
      <w:proofErr w:type="spellStart"/>
      <w:r w:rsidRPr="004F46A7">
        <w:rPr>
          <w:lang w:val="ru-RU"/>
        </w:rPr>
        <w:t>по-високи</w:t>
      </w:r>
      <w:proofErr w:type="spellEnd"/>
      <w:r w:rsidRPr="004F46A7">
        <w:rPr>
          <w:lang w:val="ru-RU"/>
        </w:rPr>
        <w:t xml:space="preserve"> от 20% от </w:t>
      </w:r>
      <w:proofErr w:type="spellStart"/>
      <w:r w:rsidRPr="004F46A7">
        <w:rPr>
          <w:lang w:val="ru-RU"/>
        </w:rPr>
        <w:t>контролните</w:t>
      </w:r>
      <w:proofErr w:type="spellEnd"/>
      <w:r w:rsidRPr="004F46A7">
        <w:rPr>
          <w:lang w:val="ru-RU"/>
        </w:rPr>
        <w:t>.</w:t>
      </w:r>
    </w:p>
    <w:p w:rsidR="0062603A" w:rsidRDefault="0062603A" w:rsidP="0062603A">
      <w:pPr>
        <w:pStyle w:val="a5"/>
        <w:numPr>
          <w:ilvl w:val="0"/>
          <w:numId w:val="8"/>
        </w:numPr>
        <w:rPr>
          <w:lang w:val="ru-RU"/>
        </w:rPr>
      </w:pPr>
      <w:proofErr w:type="spellStart"/>
      <w:r w:rsidRPr="004F46A7">
        <w:rPr>
          <w:lang w:val="ru-RU"/>
        </w:rPr>
        <w:t>Средствата</w:t>
      </w:r>
      <w:proofErr w:type="spellEnd"/>
      <w:r w:rsidRPr="004F46A7">
        <w:rPr>
          <w:lang w:val="ru-RU"/>
        </w:rPr>
        <w:t xml:space="preserve"> за </w:t>
      </w:r>
      <w:proofErr w:type="spellStart"/>
      <w:r w:rsidRPr="004F46A7">
        <w:rPr>
          <w:lang w:val="ru-RU"/>
        </w:rPr>
        <w:t>измерване</w:t>
      </w:r>
      <w:proofErr w:type="spellEnd"/>
      <w:r w:rsidRPr="004F46A7">
        <w:rPr>
          <w:lang w:val="ru-RU"/>
        </w:rPr>
        <w:t xml:space="preserve"> </w:t>
      </w:r>
      <w:proofErr w:type="spellStart"/>
      <w:r w:rsidRPr="004F46A7">
        <w:rPr>
          <w:lang w:val="ru-RU"/>
        </w:rPr>
        <w:t>трябва</w:t>
      </w:r>
      <w:proofErr w:type="spellEnd"/>
      <w:r w:rsidRPr="004F46A7">
        <w:rPr>
          <w:lang w:val="ru-RU"/>
        </w:rPr>
        <w:t xml:space="preserve"> да </w:t>
      </w:r>
      <w:proofErr w:type="spellStart"/>
      <w:r w:rsidRPr="004F46A7">
        <w:rPr>
          <w:lang w:val="ru-RU"/>
        </w:rPr>
        <w:t>са</w:t>
      </w:r>
      <w:proofErr w:type="spellEnd"/>
      <w:r w:rsidRPr="004F46A7">
        <w:rPr>
          <w:lang w:val="ru-RU"/>
        </w:rPr>
        <w:t xml:space="preserve"> </w:t>
      </w:r>
      <w:proofErr w:type="spellStart"/>
      <w:r w:rsidRPr="004F46A7">
        <w:rPr>
          <w:lang w:val="ru-RU"/>
        </w:rPr>
        <w:t>преминали</w:t>
      </w:r>
      <w:proofErr w:type="spellEnd"/>
      <w:r w:rsidRPr="004F46A7">
        <w:rPr>
          <w:lang w:val="ru-RU"/>
        </w:rPr>
        <w:t xml:space="preserve"> </w:t>
      </w:r>
      <w:proofErr w:type="spellStart"/>
      <w:r w:rsidRPr="004F46A7">
        <w:rPr>
          <w:lang w:val="ru-RU"/>
        </w:rPr>
        <w:t>метрологична</w:t>
      </w:r>
      <w:proofErr w:type="spellEnd"/>
      <w:r w:rsidRPr="004F46A7">
        <w:rPr>
          <w:lang w:val="ru-RU"/>
        </w:rPr>
        <w:t xml:space="preserve"> проверка.</w:t>
      </w:r>
    </w:p>
    <w:p w:rsidR="0062603A" w:rsidRDefault="0062603A" w:rsidP="0062603A">
      <w:pPr>
        <w:pStyle w:val="a5"/>
        <w:ind w:left="1429" w:firstLine="0"/>
        <w:rPr>
          <w:lang w:val="ru-RU"/>
        </w:rPr>
      </w:pPr>
    </w:p>
    <w:p w:rsidR="0062603A" w:rsidRDefault="0062603A" w:rsidP="0062603A">
      <w:pPr>
        <w:ind w:left="1080" w:firstLine="0"/>
        <w:rPr>
          <w:b/>
        </w:rPr>
      </w:pPr>
      <w:r>
        <w:rPr>
          <w:b/>
        </w:rPr>
        <w:t xml:space="preserve">! </w:t>
      </w:r>
      <w:r w:rsidRPr="006F6F24">
        <w:rPr>
          <w:b/>
        </w:rPr>
        <w:t xml:space="preserve">Не се допуска изземване на скален материал от </w:t>
      </w:r>
      <w:proofErr w:type="spellStart"/>
      <w:r w:rsidRPr="006F6F24">
        <w:rPr>
          <w:b/>
        </w:rPr>
        <w:t>рекултивирани</w:t>
      </w:r>
      <w:proofErr w:type="spellEnd"/>
      <w:r w:rsidRPr="006F6F24">
        <w:rPr>
          <w:b/>
        </w:rPr>
        <w:t xml:space="preserve"> табани</w:t>
      </w:r>
      <w:r>
        <w:rPr>
          <w:b/>
        </w:rPr>
        <w:t xml:space="preserve"> и </w:t>
      </w:r>
      <w:proofErr w:type="spellStart"/>
      <w:r>
        <w:rPr>
          <w:b/>
        </w:rPr>
        <w:t>насипища</w:t>
      </w:r>
      <w:proofErr w:type="spellEnd"/>
      <w:r>
        <w:rPr>
          <w:b/>
        </w:rPr>
        <w:t>.</w:t>
      </w:r>
    </w:p>
    <w:p w:rsidR="0062603A" w:rsidRPr="004D1959" w:rsidRDefault="0062603A" w:rsidP="0062603A">
      <w:pPr>
        <w:pStyle w:val="1"/>
        <w:numPr>
          <w:ilvl w:val="0"/>
          <w:numId w:val="15"/>
        </w:numPr>
      </w:pPr>
      <w:bookmarkStart w:id="26" w:name="_Toc437196613"/>
      <w:bookmarkStart w:id="27" w:name="_Toc115067722"/>
      <w:bookmarkStart w:id="28" w:name="_Toc115067913"/>
      <w:bookmarkStart w:id="29" w:name="_Toc119317240"/>
      <w:r>
        <w:rPr>
          <w:rFonts w:asciiTheme="minorHAnsi" w:hAnsiTheme="minorHAnsi"/>
        </w:rPr>
        <w:t>ОРГАНИЗАЦИЯ ЗА ИЗПЪЛНЕНИЕ НА МЕРКИТЕ ЗА РАДИАЦИОННА ЗАЩИТА НА ПЕРСОНАЛА</w:t>
      </w:r>
      <w:bookmarkEnd w:id="26"/>
      <w:r>
        <w:rPr>
          <w:rFonts w:asciiTheme="minorHAnsi" w:hAnsiTheme="minorHAnsi"/>
        </w:rPr>
        <w:t xml:space="preserve"> </w:t>
      </w:r>
      <w:bookmarkEnd w:id="27"/>
      <w:bookmarkEnd w:id="28"/>
      <w:bookmarkEnd w:id="29"/>
    </w:p>
    <w:p w:rsidR="0062603A" w:rsidRPr="002D37C4" w:rsidRDefault="0062603A" w:rsidP="0062603A">
      <w:pPr>
        <w:ind w:firstLine="432"/>
      </w:pPr>
      <w:r w:rsidRPr="002D37C4">
        <w:t xml:space="preserve">Организацията за изпълнение на мерките за радиационна защита  са съобразени с </w:t>
      </w:r>
      <w:proofErr w:type="spellStart"/>
      <w:r w:rsidRPr="002D37C4">
        <w:t>изисванията</w:t>
      </w:r>
      <w:proofErr w:type="spellEnd"/>
      <w:r w:rsidRPr="002D37C4">
        <w:t xml:space="preserve"> на Наредба №2/22.03.2004г. за минималните изисквания за здравословни и безопасни условия на труд при извършване на строителни и монтажни работи с отчитане на специфичните особености –  в случая наличие повишено съдържание на </w:t>
      </w:r>
      <w:proofErr w:type="spellStart"/>
      <w:r w:rsidRPr="002D37C4">
        <w:t>радионуклиди</w:t>
      </w:r>
      <w:proofErr w:type="spellEnd"/>
      <w:r>
        <w:t xml:space="preserve"> на работната площадка</w:t>
      </w:r>
      <w:r w:rsidRPr="002D37C4">
        <w:t>.</w:t>
      </w:r>
    </w:p>
    <w:p w:rsidR="0062603A" w:rsidRPr="002D37C4" w:rsidRDefault="0062603A" w:rsidP="0062603A">
      <w:pPr>
        <w:ind w:firstLine="432"/>
      </w:pPr>
      <w:r w:rsidRPr="002D37C4">
        <w:t xml:space="preserve">Дейностите по радиационната защита и </w:t>
      </w:r>
      <w:proofErr w:type="spellStart"/>
      <w:r w:rsidRPr="002D37C4">
        <w:t>дозиметричен</w:t>
      </w:r>
      <w:proofErr w:type="spellEnd"/>
      <w:r w:rsidRPr="002D37C4">
        <w:t xml:space="preserve"> ко</w:t>
      </w:r>
      <w:r>
        <w:t>н</w:t>
      </w:r>
      <w:r w:rsidRPr="002D37C4">
        <w:t xml:space="preserve">трол са част от общия план за безопасност и здраве. </w:t>
      </w:r>
    </w:p>
    <w:p w:rsidR="0062603A" w:rsidRPr="00972CF9" w:rsidRDefault="0062603A" w:rsidP="0062603A">
      <w:pPr>
        <w:ind w:firstLine="432"/>
      </w:pPr>
      <w:r w:rsidRPr="00972CF9">
        <w:t xml:space="preserve">Контролът с индивидуалните </w:t>
      </w:r>
      <w:proofErr w:type="spellStart"/>
      <w:r w:rsidRPr="00972CF9">
        <w:t>дозиметри</w:t>
      </w:r>
      <w:proofErr w:type="spellEnd"/>
      <w:r w:rsidRPr="00972CF9">
        <w:t xml:space="preserve"> се осъществява непрекъснато. Не се предвижда смяна на </w:t>
      </w:r>
      <w:proofErr w:type="spellStart"/>
      <w:r w:rsidRPr="00972CF9">
        <w:t>дозиметъра</w:t>
      </w:r>
      <w:proofErr w:type="spellEnd"/>
      <w:r w:rsidRPr="00972CF9">
        <w:t xml:space="preserve">, поради краткия срок на изпълнение на </w:t>
      </w:r>
      <w:r>
        <w:t xml:space="preserve">проекта </w:t>
      </w:r>
      <w:r w:rsidRPr="007F220E">
        <w:t xml:space="preserve"> (</w:t>
      </w:r>
      <w:r>
        <w:t>3</w:t>
      </w:r>
      <w:r w:rsidRPr="007F220E">
        <w:t xml:space="preserve"> месеца). При отчитане на показанията на </w:t>
      </w:r>
      <w:r w:rsidRPr="0077020C">
        <w:t xml:space="preserve">индивидуалните </w:t>
      </w:r>
      <w:proofErr w:type="spellStart"/>
      <w:r w:rsidRPr="0077020C">
        <w:t>дозиметри</w:t>
      </w:r>
      <w:proofErr w:type="spellEnd"/>
      <w:r w:rsidRPr="0077020C">
        <w:t xml:space="preserve"> да се спазват изискванията и реда на Наредба 32 за условията и реда за извършване на индивидуален </w:t>
      </w:r>
      <w:proofErr w:type="spellStart"/>
      <w:r w:rsidRPr="0077020C">
        <w:t>дозиметричен</w:t>
      </w:r>
      <w:proofErr w:type="spellEnd"/>
      <w:r w:rsidRPr="0077020C">
        <w:t xml:space="preserve"> контрол за лицата, работещи с източници на йонизиращи лъчения.</w:t>
      </w:r>
    </w:p>
    <w:p w:rsidR="0062603A" w:rsidRPr="003128FC" w:rsidRDefault="0062603A" w:rsidP="0062603A">
      <w:pPr>
        <w:rPr>
          <w:b/>
        </w:rPr>
      </w:pPr>
      <w:bookmarkStart w:id="30" w:name="_Toc115067723"/>
      <w:bookmarkStart w:id="31" w:name="_Toc115067914"/>
      <w:r w:rsidRPr="003128FC">
        <w:rPr>
          <w:b/>
        </w:rPr>
        <w:t>Работни места в различните зони на работа</w:t>
      </w:r>
      <w:bookmarkEnd w:id="30"/>
      <w:bookmarkEnd w:id="31"/>
    </w:p>
    <w:p w:rsidR="0062603A" w:rsidRPr="00972CF9" w:rsidRDefault="0062603A" w:rsidP="0062603A">
      <w:r w:rsidRPr="007F220E">
        <w:t xml:space="preserve">Дейностите по </w:t>
      </w:r>
      <w:r>
        <w:t xml:space="preserve">ремонтно възстановителните работи за укрепване и </w:t>
      </w:r>
      <w:proofErr w:type="spellStart"/>
      <w:r>
        <w:t>презатваряне</w:t>
      </w:r>
      <w:proofErr w:type="spellEnd"/>
      <w:r>
        <w:t xml:space="preserve"> на минните изработки ще се извършват последователно с </w:t>
      </w:r>
      <w:proofErr w:type="spellStart"/>
      <w:r>
        <w:t>презастъпване</w:t>
      </w:r>
      <w:proofErr w:type="spellEnd"/>
      <w:r>
        <w:t xml:space="preserve"> във времето по </w:t>
      </w:r>
      <w:r>
        <w:lastRenderedPageBreak/>
        <w:t xml:space="preserve">участъци и по подобекти (минни изработки). Всеки подобект разглеждаме като една работна площадка. </w:t>
      </w:r>
      <w:r w:rsidRPr="007F220E">
        <w:t>Предвижда</w:t>
      </w:r>
      <w:r>
        <w:t>т</w:t>
      </w:r>
      <w:r w:rsidRPr="007F220E">
        <w:t xml:space="preserve"> се </w:t>
      </w:r>
      <w:r>
        <w:t>средно 5</w:t>
      </w:r>
      <w:r w:rsidRPr="007F220E">
        <w:t xml:space="preserve"> работн</w:t>
      </w:r>
      <w:r>
        <w:t>и</w:t>
      </w:r>
      <w:r w:rsidRPr="007F220E">
        <w:t xml:space="preserve"> м</w:t>
      </w:r>
      <w:r>
        <w:t>еста</w:t>
      </w:r>
      <w:r w:rsidRPr="007F220E">
        <w:t xml:space="preserve"> на всяка площадка</w:t>
      </w:r>
      <w:r>
        <w:t xml:space="preserve"> (технически ръководител и работници)</w:t>
      </w:r>
      <w:r w:rsidRPr="007F220E">
        <w:t>.</w:t>
      </w:r>
    </w:p>
    <w:p w:rsidR="0062603A" w:rsidRDefault="0062603A" w:rsidP="0062603A">
      <w:pPr>
        <w:rPr>
          <w:lang w:val="en-US"/>
        </w:rPr>
      </w:pPr>
      <w:bookmarkStart w:id="32" w:name="_Toc115067724"/>
      <w:bookmarkStart w:id="33" w:name="_Toc115067915"/>
      <w:bookmarkStart w:id="34" w:name="_Toc119317241"/>
      <w:r>
        <w:t xml:space="preserve">За работа на обекта се допускат лица на възраст над 18 години, които са преминали: </w:t>
      </w:r>
    </w:p>
    <w:p w:rsidR="0062603A" w:rsidRDefault="0062603A" w:rsidP="0062603A">
      <w:pPr>
        <w:pStyle w:val="a5"/>
        <w:numPr>
          <w:ilvl w:val="0"/>
          <w:numId w:val="9"/>
        </w:numPr>
      </w:pPr>
      <w:r>
        <w:t xml:space="preserve">задължителен предварителен медицински преглед в НЦРРЗ – секция “Медицинска </w:t>
      </w:r>
      <w:proofErr w:type="spellStart"/>
      <w:r>
        <w:t>радиологична</w:t>
      </w:r>
      <w:proofErr w:type="spellEnd"/>
      <w:r>
        <w:t xml:space="preserve"> защита и епидемиология” към МЗ и здравно освидетелствани, че могат да работят в сфера на йонизиращи лъчения;</w:t>
      </w:r>
    </w:p>
    <w:p w:rsidR="0062603A" w:rsidRDefault="0062603A" w:rsidP="0062603A">
      <w:pPr>
        <w:pStyle w:val="a5"/>
        <w:numPr>
          <w:ilvl w:val="0"/>
          <w:numId w:val="9"/>
        </w:numPr>
      </w:pPr>
      <w:r>
        <w:t>задължителен първоначален инструктаж по техническа безопасност и радиационна защита.</w:t>
      </w:r>
    </w:p>
    <w:p w:rsidR="0062603A" w:rsidRDefault="0062603A" w:rsidP="0062603A">
      <w:r>
        <w:t>Персоналът, изпълняващ дейности, свързани със задълженията на изпълнителя за изпълнение на програмата за радиационна защита и радиационен контрол в рамките на проекта включва:</w:t>
      </w:r>
    </w:p>
    <w:p w:rsidR="0062603A" w:rsidRDefault="0062603A" w:rsidP="0062603A">
      <w:r>
        <w:rPr>
          <w:b/>
          <w:u w:val="single"/>
        </w:rPr>
        <w:t>Отговорник по изпълнението на радиационна програма</w:t>
      </w:r>
      <w:r>
        <w:rPr>
          <w:u w:val="single"/>
        </w:rPr>
        <w:t xml:space="preserve"> </w:t>
      </w:r>
      <w:r>
        <w:t>– лице със съответната квалификация и правоспособност по изискванията на Наредба за условията и реда за придобиване на професионална квалификация и за реда за издаване на лицензии за специализирано обучение и на удостоверения за правоспособност работа с ИЙЛ, което отговаря за:</w:t>
      </w:r>
    </w:p>
    <w:p w:rsidR="0062603A" w:rsidRDefault="0062603A" w:rsidP="0062603A">
      <w:pPr>
        <w:pStyle w:val="a5"/>
        <w:numPr>
          <w:ilvl w:val="0"/>
          <w:numId w:val="10"/>
        </w:numPr>
      </w:pPr>
      <w:r>
        <w:t>изпълнението на програмата за радиационна защита;</w:t>
      </w:r>
    </w:p>
    <w:p w:rsidR="0062603A" w:rsidRDefault="0062603A" w:rsidP="0062603A">
      <w:pPr>
        <w:pStyle w:val="a5"/>
        <w:numPr>
          <w:ilvl w:val="0"/>
          <w:numId w:val="10"/>
        </w:numPr>
      </w:pPr>
      <w:r>
        <w:t xml:space="preserve">генериране и поддържане на вътрешните документи в тази област (дневници за първоначален и периодичен инструктаж, дневници за индивидуален </w:t>
      </w:r>
      <w:proofErr w:type="spellStart"/>
      <w:r>
        <w:t>дозиметричен</w:t>
      </w:r>
      <w:proofErr w:type="spellEnd"/>
      <w:r>
        <w:t xml:space="preserve"> контрол, протоколи от радиационния контрол на обекта;</w:t>
      </w:r>
    </w:p>
    <w:p w:rsidR="0062603A" w:rsidRDefault="0062603A" w:rsidP="0062603A">
      <w:pPr>
        <w:pStyle w:val="a5"/>
        <w:numPr>
          <w:ilvl w:val="0"/>
          <w:numId w:val="10"/>
        </w:numPr>
      </w:pPr>
      <w:r>
        <w:t>медицински свидетелства на персонала и друга документация, имаща отношение към радиационната защита;</w:t>
      </w:r>
    </w:p>
    <w:p w:rsidR="0062603A" w:rsidRDefault="0062603A" w:rsidP="0062603A">
      <w:pPr>
        <w:pStyle w:val="a5"/>
        <w:numPr>
          <w:ilvl w:val="0"/>
          <w:numId w:val="10"/>
        </w:numPr>
      </w:pPr>
      <w:r>
        <w:t>провеждане на инструктажите по радиационна защита на работещите;</w:t>
      </w:r>
    </w:p>
    <w:p w:rsidR="0062603A" w:rsidRDefault="0062603A" w:rsidP="0062603A">
      <w:pPr>
        <w:pStyle w:val="a5"/>
        <w:numPr>
          <w:ilvl w:val="0"/>
          <w:numId w:val="10"/>
        </w:numPr>
      </w:pPr>
      <w:r>
        <w:t xml:space="preserve">организиране снабдяването на персонала с индивидуалните </w:t>
      </w:r>
      <w:proofErr w:type="spellStart"/>
      <w:r>
        <w:t>дозиметри</w:t>
      </w:r>
      <w:proofErr w:type="spellEnd"/>
      <w:r>
        <w:t xml:space="preserve"> съгласно предвидения график;</w:t>
      </w:r>
    </w:p>
    <w:p w:rsidR="0062603A" w:rsidRDefault="0062603A" w:rsidP="0062603A">
      <w:pPr>
        <w:pStyle w:val="a5"/>
        <w:numPr>
          <w:ilvl w:val="0"/>
          <w:numId w:val="10"/>
        </w:numPr>
      </w:pPr>
      <w:r>
        <w:t xml:space="preserve">съхраняване данните с резултатите от индивидуалния </w:t>
      </w:r>
      <w:proofErr w:type="spellStart"/>
      <w:r>
        <w:t>дозиметричен</w:t>
      </w:r>
      <w:proofErr w:type="spellEnd"/>
      <w:r>
        <w:t xml:space="preserve"> контрол;</w:t>
      </w:r>
    </w:p>
    <w:p w:rsidR="0062603A" w:rsidRDefault="0062603A" w:rsidP="0062603A">
      <w:pPr>
        <w:pStyle w:val="a5"/>
        <w:numPr>
          <w:ilvl w:val="0"/>
          <w:numId w:val="10"/>
        </w:numPr>
      </w:pPr>
      <w:r>
        <w:t xml:space="preserve">запознаване на персонала с резултатите от индивидуалния </w:t>
      </w:r>
      <w:proofErr w:type="spellStart"/>
      <w:r>
        <w:t>дозиметричен</w:t>
      </w:r>
      <w:proofErr w:type="spellEnd"/>
      <w:r>
        <w:t xml:space="preserve"> контрол;</w:t>
      </w:r>
    </w:p>
    <w:p w:rsidR="0062603A" w:rsidRDefault="0062603A" w:rsidP="0062603A">
      <w:pPr>
        <w:pStyle w:val="a5"/>
        <w:numPr>
          <w:ilvl w:val="0"/>
          <w:numId w:val="10"/>
        </w:numPr>
      </w:pPr>
      <w:r>
        <w:t>информиране на Ръководителя за изпълнението на програмата и за настъпили изменения в радиационната обстановка, налагащи вземането на мерки да не се превишават нормативно установените граници;</w:t>
      </w:r>
    </w:p>
    <w:p w:rsidR="0062603A" w:rsidRDefault="0062603A" w:rsidP="0062603A">
      <w:pPr>
        <w:pStyle w:val="a5"/>
        <w:numPr>
          <w:ilvl w:val="0"/>
          <w:numId w:val="10"/>
        </w:numPr>
      </w:pPr>
      <w:r>
        <w:t>съгласуването на измененията в програмата за радиационна защита на проекта в съответствие със специфичните условия на площадката в радиационно отношение, ако това е необходимо и обосновано.</w:t>
      </w:r>
    </w:p>
    <w:p w:rsidR="0062603A" w:rsidRDefault="0062603A" w:rsidP="0062603A">
      <w:pPr>
        <w:rPr>
          <w:sz w:val="28"/>
          <w:szCs w:val="28"/>
          <w:highlight w:val="yellow"/>
        </w:rPr>
      </w:pPr>
      <w:r>
        <w:t>За работата си отговорникът по радиационна защита се отчита директно и само на ръководителя на обекта и няма да бъде натоварен с други функции, свързани с изпълнението на проекта.</w:t>
      </w:r>
    </w:p>
    <w:p w:rsidR="0062603A" w:rsidRDefault="0062603A" w:rsidP="0062603A">
      <w:r>
        <w:rPr>
          <w:b/>
          <w:u w:val="single"/>
        </w:rPr>
        <w:t xml:space="preserve">Отговорник по радиационен и </w:t>
      </w:r>
      <w:proofErr w:type="spellStart"/>
      <w:r>
        <w:rPr>
          <w:b/>
          <w:u w:val="single"/>
        </w:rPr>
        <w:t>дозиметричен</w:t>
      </w:r>
      <w:proofErr w:type="spellEnd"/>
      <w:r>
        <w:rPr>
          <w:b/>
          <w:u w:val="single"/>
        </w:rPr>
        <w:t xml:space="preserve"> контрол (</w:t>
      </w:r>
      <w:proofErr w:type="spellStart"/>
      <w:r>
        <w:rPr>
          <w:b/>
          <w:u w:val="single"/>
        </w:rPr>
        <w:t>дозиметрист</w:t>
      </w:r>
      <w:proofErr w:type="spellEnd"/>
      <w:r>
        <w:rPr>
          <w:b/>
          <w:u w:val="single"/>
        </w:rPr>
        <w:t>)</w:t>
      </w:r>
      <w:r>
        <w:t xml:space="preserve"> – лице със съответната квалификация и правоспособност по изискванията на Наредба за условията и реда за придобиване на професионална квалификация и за реда за издаване </w:t>
      </w:r>
      <w:r>
        <w:lastRenderedPageBreak/>
        <w:t xml:space="preserve">на лицензии за специализирано обучение и на удостоверения за правоспособност за работа с ИЙЛ, което извършва </w:t>
      </w:r>
      <w:proofErr w:type="spellStart"/>
      <w:r>
        <w:t>дозиметричния</w:t>
      </w:r>
      <w:proofErr w:type="spellEnd"/>
      <w:r>
        <w:t xml:space="preserve"> контрол и отговаря за:</w:t>
      </w:r>
    </w:p>
    <w:p w:rsidR="0062603A" w:rsidRDefault="0062603A" w:rsidP="0062603A">
      <w:pPr>
        <w:pStyle w:val="a5"/>
        <w:numPr>
          <w:ilvl w:val="0"/>
          <w:numId w:val="11"/>
        </w:numPr>
      </w:pPr>
      <w:r>
        <w:t>провеждането на всички измервания на радиационните фактори в работната среда и нанасянето им в съответните дневници;</w:t>
      </w:r>
    </w:p>
    <w:p w:rsidR="0062603A" w:rsidRDefault="0062603A" w:rsidP="0062603A">
      <w:pPr>
        <w:pStyle w:val="a5"/>
        <w:numPr>
          <w:ilvl w:val="0"/>
          <w:numId w:val="11"/>
        </w:numPr>
      </w:pPr>
      <w:r>
        <w:t xml:space="preserve">раздаването срещу подпис на индивидуалните </w:t>
      </w:r>
      <w:proofErr w:type="spellStart"/>
      <w:r>
        <w:t>дозиметри</w:t>
      </w:r>
      <w:proofErr w:type="spellEnd"/>
      <w:r>
        <w:t xml:space="preserve"> и събирането им за отчитане;</w:t>
      </w:r>
    </w:p>
    <w:p w:rsidR="0062603A" w:rsidRDefault="0062603A" w:rsidP="0062603A">
      <w:pPr>
        <w:pStyle w:val="a5"/>
        <w:numPr>
          <w:ilvl w:val="0"/>
          <w:numId w:val="11"/>
        </w:numPr>
      </w:pPr>
      <w:r>
        <w:t>спазването на изискванията на радиационната защита от всички работещи и посетители на обекта;</w:t>
      </w:r>
    </w:p>
    <w:p w:rsidR="0062603A" w:rsidRDefault="0062603A" w:rsidP="0062603A">
      <w:pPr>
        <w:pStyle w:val="a5"/>
        <w:numPr>
          <w:ilvl w:val="0"/>
          <w:numId w:val="11"/>
        </w:numPr>
      </w:pPr>
      <w:r>
        <w:t>регистриране на нарушенията и при всяко изменение в условията да информира отговорника по радиационна защита.</w:t>
      </w:r>
    </w:p>
    <w:p w:rsidR="0062603A" w:rsidRPr="00933875" w:rsidRDefault="0062603A" w:rsidP="0062603A">
      <w:pPr>
        <w:rPr>
          <w:szCs w:val="26"/>
        </w:rPr>
      </w:pPr>
      <w:r w:rsidRPr="00933875">
        <w:rPr>
          <w:b/>
          <w:szCs w:val="26"/>
          <w:u w:val="single"/>
        </w:rPr>
        <w:t>Работници</w:t>
      </w:r>
      <w:r w:rsidRPr="00933875">
        <w:rPr>
          <w:szCs w:val="26"/>
        </w:rPr>
        <w:t xml:space="preserve"> – Персоналът, изпълняващ </w:t>
      </w:r>
      <w:r>
        <w:rPr>
          <w:szCs w:val="26"/>
        </w:rPr>
        <w:t xml:space="preserve">дейности по </w:t>
      </w:r>
      <w:proofErr w:type="spellStart"/>
      <w:r>
        <w:rPr>
          <w:szCs w:val="26"/>
        </w:rPr>
        <w:t>презатваряне</w:t>
      </w:r>
      <w:proofErr w:type="spellEnd"/>
      <w:r>
        <w:rPr>
          <w:szCs w:val="26"/>
        </w:rPr>
        <w:t xml:space="preserve"> на минните изработки (средно 5 човека на смяна)</w:t>
      </w:r>
      <w:r w:rsidRPr="00933875">
        <w:rPr>
          <w:szCs w:val="26"/>
        </w:rPr>
        <w:t xml:space="preserve">, както и шофьорите на транспортни средства, ангажирани с дейности по </w:t>
      </w:r>
      <w:r>
        <w:rPr>
          <w:szCs w:val="26"/>
        </w:rPr>
        <w:t>извозване и разтоварване на съответните земни маси и утайки.</w:t>
      </w:r>
    </w:p>
    <w:p w:rsidR="0062603A" w:rsidRDefault="0062603A" w:rsidP="0062603A">
      <w:r>
        <w:rPr>
          <w:b/>
          <w:u w:val="single"/>
        </w:rPr>
        <w:t>Други лица от персонала</w:t>
      </w:r>
      <w:r>
        <w:t xml:space="preserve"> с отговорности, свързани с изпълнението на проекта, но без специална квалификация по радиационна защита.</w:t>
      </w:r>
    </w:p>
    <w:p w:rsidR="0062603A" w:rsidRDefault="0062603A" w:rsidP="0062603A">
      <w:r>
        <w:t>Последната група персонал трябва:</w:t>
      </w:r>
    </w:p>
    <w:p w:rsidR="0062603A" w:rsidRDefault="0062603A" w:rsidP="0062603A">
      <w:pPr>
        <w:pStyle w:val="a5"/>
        <w:numPr>
          <w:ilvl w:val="0"/>
          <w:numId w:val="12"/>
        </w:numPr>
      </w:pPr>
      <w:r>
        <w:t>да е здравно освидетелствана, че може да работи в сфера ЙИЛ;</w:t>
      </w:r>
    </w:p>
    <w:p w:rsidR="0062603A" w:rsidRDefault="0062603A" w:rsidP="0062603A">
      <w:pPr>
        <w:pStyle w:val="a5"/>
        <w:numPr>
          <w:ilvl w:val="0"/>
          <w:numId w:val="12"/>
        </w:numPr>
      </w:pPr>
      <w:r>
        <w:t>да е преминала задължителния първоначален инструктаж по техническа безопасност при работа с открити източници.</w:t>
      </w:r>
    </w:p>
    <w:p w:rsidR="0062603A" w:rsidRDefault="0062603A" w:rsidP="0062603A">
      <w:r>
        <w:t xml:space="preserve">Трябва да бъдат осигурени средства за индивидуален </w:t>
      </w:r>
      <w:proofErr w:type="spellStart"/>
      <w:r>
        <w:t>дозиметричен</w:t>
      </w:r>
      <w:proofErr w:type="spellEnd"/>
      <w:r>
        <w:t xml:space="preserve"> контрол на всички лица от персонала, както и отчитането на индивидуалното </w:t>
      </w:r>
      <w:proofErr w:type="spellStart"/>
      <w:r>
        <w:t>дозово</w:t>
      </w:r>
      <w:proofErr w:type="spellEnd"/>
      <w:r>
        <w:t xml:space="preserve"> натоварване в </w:t>
      </w:r>
      <w:proofErr w:type="spellStart"/>
      <w:r>
        <w:t>лизенцирана</w:t>
      </w:r>
      <w:proofErr w:type="spellEnd"/>
      <w:r>
        <w:t xml:space="preserve"> лаборатория.</w:t>
      </w:r>
    </w:p>
    <w:p w:rsidR="0062603A" w:rsidRPr="00554120" w:rsidRDefault="0062603A" w:rsidP="0062603A">
      <w:pPr>
        <w:pStyle w:val="1"/>
        <w:numPr>
          <w:ilvl w:val="0"/>
          <w:numId w:val="14"/>
        </w:numPr>
      </w:pPr>
      <w:bookmarkStart w:id="35" w:name="_Toc437196614"/>
      <w:r>
        <w:rPr>
          <w:rFonts w:asciiTheme="minorHAnsi" w:hAnsiTheme="minorHAnsi"/>
        </w:rPr>
        <w:t>ПРОГРАМА ЗА РАДИАЦИОННА ЗАЩИТА И РАДИАЦИОНЕН КОНТРОЛ</w:t>
      </w:r>
      <w:bookmarkEnd w:id="35"/>
      <w:r>
        <w:rPr>
          <w:rFonts w:asciiTheme="minorHAnsi" w:hAnsiTheme="minorHAnsi"/>
        </w:rPr>
        <w:t xml:space="preserve"> </w:t>
      </w:r>
      <w:bookmarkEnd w:id="32"/>
      <w:bookmarkEnd w:id="33"/>
      <w:bookmarkEnd w:id="34"/>
    </w:p>
    <w:p w:rsidR="0062603A" w:rsidRPr="002D37C4" w:rsidRDefault="0062603A" w:rsidP="0062603A">
      <w:pPr>
        <w:ind w:firstLine="432"/>
      </w:pPr>
      <w:r w:rsidRPr="00EC1F7E">
        <w:t>Програмата е разработена в съответствие с правилата на наредбата за</w:t>
      </w:r>
      <w:r w:rsidRPr="002D37C4">
        <w:t xml:space="preserve"> радиационна защита при дейности с ИЙЛ и при спазване на принципите и изискванията, определени в </w:t>
      </w:r>
      <w:hyperlink r:id="rId5" w:tgtFrame="_parent" w:history="1">
        <w:r w:rsidRPr="002D37C4">
          <w:rPr>
            <w:rStyle w:val="a3"/>
          </w:rPr>
          <w:t>Наредбата за основните норми за радиационна защита</w:t>
        </w:r>
      </w:hyperlink>
      <w:r w:rsidRPr="002D37C4">
        <w:t xml:space="preserve">. </w:t>
      </w:r>
    </w:p>
    <w:p w:rsidR="0062603A" w:rsidRPr="00972CF9" w:rsidRDefault="0062603A" w:rsidP="0062603A">
      <w:pPr>
        <w:ind w:firstLine="720"/>
      </w:pPr>
      <w:r w:rsidRPr="00972CF9">
        <w:t>Програмата включва радиационен мониторинг за контрол на радиационната обстановка по работни места  и индивидуален мониторинг за контрол на индивидуалните дози от външно облъчване.</w:t>
      </w:r>
    </w:p>
    <w:p w:rsidR="0062603A" w:rsidRPr="00972CF9" w:rsidRDefault="0062603A" w:rsidP="0062603A">
      <w:pPr>
        <w:ind w:firstLine="720"/>
      </w:pPr>
      <w:r w:rsidRPr="00972CF9">
        <w:t xml:space="preserve"> Измерваните  радиационни показатели за контрол по работни места са:</w:t>
      </w:r>
    </w:p>
    <w:p w:rsidR="0062603A" w:rsidRPr="00EC1F7E" w:rsidRDefault="0062603A" w:rsidP="0062603A">
      <w:pPr>
        <w:pStyle w:val="a5"/>
        <w:numPr>
          <w:ilvl w:val="0"/>
          <w:numId w:val="13"/>
        </w:numPr>
      </w:pPr>
      <w:r w:rsidRPr="00EC1F7E">
        <w:t xml:space="preserve">мощност на дозата гама-лъчение </w:t>
      </w:r>
      <w:r>
        <w:t xml:space="preserve">- </w:t>
      </w:r>
      <w:r w:rsidRPr="00EC1F7E">
        <w:t xml:space="preserve">на </w:t>
      </w:r>
      <w:r>
        <w:t>работните площадки пред</w:t>
      </w:r>
      <w:r w:rsidRPr="00EC1F7E">
        <w:t xml:space="preserve"> устията на </w:t>
      </w:r>
      <w:r>
        <w:t>минните изработки:</w:t>
      </w:r>
      <w:r w:rsidRPr="00EC1F7E">
        <w:t xml:space="preserve"> преди, след и по време на изпълнение на дейностите по </w:t>
      </w:r>
      <w:r>
        <w:t xml:space="preserve">укрепване и </w:t>
      </w:r>
      <w:proofErr w:type="spellStart"/>
      <w:r w:rsidRPr="00EC1F7E">
        <w:t>презатваряне</w:t>
      </w:r>
      <w:proofErr w:type="spellEnd"/>
      <w:r w:rsidRPr="00EC1F7E">
        <w:t xml:space="preserve"> на минните изработки;</w:t>
      </w:r>
      <w:r>
        <w:t xml:space="preserve"> контролни измервания за селективно изземване на скален материал от съседни табани; след завършване на ремонтно възстановителните работи;</w:t>
      </w:r>
    </w:p>
    <w:p w:rsidR="0062603A" w:rsidRPr="00EC1F7E" w:rsidRDefault="0062603A" w:rsidP="0062603A">
      <w:pPr>
        <w:pStyle w:val="a5"/>
        <w:numPr>
          <w:ilvl w:val="0"/>
          <w:numId w:val="13"/>
        </w:numPr>
      </w:pPr>
      <w:r w:rsidRPr="00EC1F7E">
        <w:t>повърхностно бета-замърсяване по време на пробивните дейности</w:t>
      </w:r>
      <w:r>
        <w:t xml:space="preserve"> и дейности при които се полага ръчен труд за изграждане на съоръженията за контролиран излив на руднични води;</w:t>
      </w:r>
      <w:r w:rsidRPr="00EC1F7E">
        <w:t xml:space="preserve"> </w:t>
      </w:r>
    </w:p>
    <w:p w:rsidR="0062603A" w:rsidRDefault="0062603A" w:rsidP="0062603A">
      <w:pPr>
        <w:pStyle w:val="a5"/>
        <w:numPr>
          <w:ilvl w:val="0"/>
          <w:numId w:val="13"/>
        </w:numPr>
      </w:pPr>
      <w:r w:rsidRPr="00EC1F7E">
        <w:rPr>
          <w:vertAlign w:val="superscript"/>
        </w:rPr>
        <w:lastRenderedPageBreak/>
        <w:t>222</w:t>
      </w:r>
      <w:r w:rsidRPr="00EC1F7E">
        <w:t xml:space="preserve">Rn </w:t>
      </w:r>
      <w:r>
        <w:t xml:space="preserve">– контролно преди започване на ремонтните работи на устието на </w:t>
      </w:r>
      <w:proofErr w:type="spellStart"/>
      <w:r>
        <w:t>щолните</w:t>
      </w:r>
      <w:proofErr w:type="spellEnd"/>
      <w:r>
        <w:t xml:space="preserve"> и </w:t>
      </w:r>
      <w:r w:rsidRPr="00EC1F7E">
        <w:t xml:space="preserve">в близост до </w:t>
      </w:r>
      <w:proofErr w:type="spellStart"/>
      <w:r w:rsidRPr="00EC1F7E">
        <w:t>щолните</w:t>
      </w:r>
      <w:proofErr w:type="spellEnd"/>
      <w:r w:rsidRPr="00EC1F7E">
        <w:t xml:space="preserve"> възможно най-бързо след провеждане на взривните работи.</w:t>
      </w:r>
    </w:p>
    <w:p w:rsidR="0062603A" w:rsidRPr="0060479D" w:rsidRDefault="0062603A" w:rsidP="0062603A">
      <w:pPr>
        <w:rPr>
          <w:b/>
        </w:rPr>
      </w:pPr>
      <w:r w:rsidRPr="0060479D">
        <w:rPr>
          <w:b/>
        </w:rPr>
        <w:t xml:space="preserve">! Не се допуска изземване на скални материали от табани на </w:t>
      </w:r>
      <w:proofErr w:type="spellStart"/>
      <w:r w:rsidRPr="0060479D">
        <w:rPr>
          <w:b/>
        </w:rPr>
        <w:t>насипища</w:t>
      </w:r>
      <w:proofErr w:type="spellEnd"/>
      <w:r w:rsidRPr="0060479D">
        <w:rPr>
          <w:b/>
        </w:rPr>
        <w:t xml:space="preserve"> с мощност на дозата гама-лъчение надвишаваща </w:t>
      </w:r>
      <w:r>
        <w:rPr>
          <w:b/>
        </w:rPr>
        <w:t>нормативно допустимите (под 700</w:t>
      </w:r>
      <w:r w:rsidRPr="0060479D">
        <w:rPr>
          <w:b/>
        </w:rPr>
        <w:t xml:space="preserve"> </w:t>
      </w:r>
      <w:proofErr w:type="spellStart"/>
      <w:r w:rsidRPr="0060479D">
        <w:rPr>
          <w:b/>
          <w:lang w:val="en-US"/>
        </w:rPr>
        <w:t>nGy</w:t>
      </w:r>
      <w:proofErr w:type="spellEnd"/>
      <w:r w:rsidRPr="0060479D">
        <w:rPr>
          <w:b/>
          <w:lang w:val="en-US"/>
        </w:rPr>
        <w:t>/h</w:t>
      </w:r>
      <w:r>
        <w:rPr>
          <w:b/>
        </w:rPr>
        <w:t>)</w:t>
      </w:r>
      <w:r w:rsidRPr="0060479D">
        <w:rPr>
          <w:b/>
          <w:lang w:val="en-US"/>
        </w:rPr>
        <w:t>.</w:t>
      </w:r>
    </w:p>
    <w:p w:rsidR="0062603A" w:rsidRPr="00972CF9" w:rsidRDefault="0062603A" w:rsidP="0062603A">
      <w:pPr>
        <w:ind w:firstLine="720"/>
      </w:pPr>
      <w:r w:rsidRPr="00972CF9">
        <w:t xml:space="preserve">Индивидуалния </w:t>
      </w:r>
      <w:proofErr w:type="spellStart"/>
      <w:r w:rsidRPr="00972CF9">
        <w:t>дозиметричен</w:t>
      </w:r>
      <w:proofErr w:type="spellEnd"/>
      <w:r w:rsidRPr="00972CF9">
        <w:t xml:space="preserve"> контрол предвижда носене на индивидуален </w:t>
      </w:r>
      <w:proofErr w:type="spellStart"/>
      <w:r w:rsidRPr="00972CF9">
        <w:t>дозиметър</w:t>
      </w:r>
      <w:proofErr w:type="spellEnd"/>
      <w:r w:rsidRPr="00972CF9">
        <w:t xml:space="preserve"> за регистрация на ефективната доза от облъчването на лицата. При </w:t>
      </w:r>
      <w:proofErr w:type="spellStart"/>
      <w:r w:rsidRPr="00972CF9">
        <w:t>индивидулния</w:t>
      </w:r>
      <w:proofErr w:type="spellEnd"/>
      <w:r w:rsidRPr="00972CF9">
        <w:t xml:space="preserve"> </w:t>
      </w:r>
      <w:proofErr w:type="spellStart"/>
      <w:r w:rsidRPr="00972CF9">
        <w:t>дозиметричен</w:t>
      </w:r>
      <w:proofErr w:type="spellEnd"/>
      <w:r w:rsidRPr="00972CF9">
        <w:t xml:space="preserve"> контрол предлагаме да се използват ТЛД </w:t>
      </w:r>
      <w:proofErr w:type="spellStart"/>
      <w:r w:rsidRPr="00972CF9">
        <w:t>дозиметри</w:t>
      </w:r>
      <w:proofErr w:type="spellEnd"/>
      <w:r w:rsidRPr="00972CF9">
        <w:t xml:space="preserve">. </w:t>
      </w:r>
      <w:r w:rsidRPr="00EC1F7E">
        <w:t>При отчитането на показанията се спазва реда и изискванията на Наредба №32 за</w:t>
      </w:r>
      <w:r w:rsidRPr="00972CF9">
        <w:t xml:space="preserve"> </w:t>
      </w:r>
      <w:r>
        <w:t xml:space="preserve">условията и реда за извършване на индивидуален </w:t>
      </w:r>
      <w:proofErr w:type="spellStart"/>
      <w:r>
        <w:t>дозиметричен</w:t>
      </w:r>
      <w:proofErr w:type="spellEnd"/>
      <w:r>
        <w:t xml:space="preserve"> контрол на лицата, работещи с източници на йонизиращи лъчения. </w:t>
      </w:r>
      <w:r w:rsidRPr="00972CF9">
        <w:t xml:space="preserve">Предлага се още измерване за повърхностно β-замърсяване - ежедневно в края на работното време на работно облекло и обувки за всяко заето лице. </w:t>
      </w:r>
      <w:r>
        <w:t>В случай, че резултатите от тези измервания устойчиво са с ниски показания, то измерванията се редуцират до веднъж на 3 дни.</w:t>
      </w:r>
    </w:p>
    <w:p w:rsidR="0062603A" w:rsidRDefault="0062603A" w:rsidP="0062603A">
      <w:pPr>
        <w:ind w:firstLine="720"/>
      </w:pPr>
      <w:r w:rsidRPr="00972CF9">
        <w:t>Основните средства за индивидуална защита включват комбинезон или работен костюм, шапка, обувки,  ръкавици и задължително средства за защита на дихателните органи</w:t>
      </w:r>
      <w:r>
        <w:t xml:space="preserve"> </w:t>
      </w:r>
      <w:r w:rsidRPr="00563292">
        <w:t xml:space="preserve">при </w:t>
      </w:r>
      <w:r>
        <w:t xml:space="preserve">изпълнение на проекта. </w:t>
      </w:r>
    </w:p>
    <w:p w:rsidR="0062603A" w:rsidRDefault="0062603A" w:rsidP="0062603A">
      <w:pPr>
        <w:ind w:firstLine="720"/>
      </w:pPr>
    </w:p>
    <w:p w:rsidR="00C42322" w:rsidRDefault="00C42322"/>
    <w:sectPr w:rsidR="00C4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4AE"/>
    <w:multiLevelType w:val="hybridMultilevel"/>
    <w:tmpl w:val="9DC6457C"/>
    <w:lvl w:ilvl="0" w:tplc="8E20DF7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366FB2"/>
    <w:multiLevelType w:val="hybridMultilevel"/>
    <w:tmpl w:val="C6DC8C8C"/>
    <w:lvl w:ilvl="0" w:tplc="08D8A2DE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7D3E"/>
    <w:multiLevelType w:val="hybridMultilevel"/>
    <w:tmpl w:val="02C0DB1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1C1F9C"/>
    <w:multiLevelType w:val="hybridMultilevel"/>
    <w:tmpl w:val="BD9EE1BE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D45B98"/>
    <w:multiLevelType w:val="hybridMultilevel"/>
    <w:tmpl w:val="3B128CDE"/>
    <w:lvl w:ilvl="0" w:tplc="040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383C14"/>
    <w:multiLevelType w:val="hybridMultilevel"/>
    <w:tmpl w:val="2AC2DBAC"/>
    <w:lvl w:ilvl="0" w:tplc="040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914385"/>
    <w:multiLevelType w:val="hybridMultilevel"/>
    <w:tmpl w:val="1E16936E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FB59EB"/>
    <w:multiLevelType w:val="hybridMultilevel"/>
    <w:tmpl w:val="91BC6EAA"/>
    <w:lvl w:ilvl="0" w:tplc="3BFC8E10">
      <w:start w:val="1"/>
      <w:numFmt w:val="decimal"/>
      <w:pStyle w:val="1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7E7932"/>
    <w:multiLevelType w:val="hybridMultilevel"/>
    <w:tmpl w:val="9E4A143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A14880"/>
    <w:multiLevelType w:val="hybridMultilevel"/>
    <w:tmpl w:val="116823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125128"/>
    <w:multiLevelType w:val="hybridMultilevel"/>
    <w:tmpl w:val="5844BA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06022C"/>
    <w:multiLevelType w:val="hybridMultilevel"/>
    <w:tmpl w:val="1896865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EC0958"/>
    <w:multiLevelType w:val="hybridMultilevel"/>
    <w:tmpl w:val="3A06649E"/>
    <w:lvl w:ilvl="0" w:tplc="040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45F4257"/>
    <w:multiLevelType w:val="hybridMultilevel"/>
    <w:tmpl w:val="A798EE5E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  <w:num w:numId="13">
    <w:abstractNumId w:val="13"/>
  </w:num>
  <w:num w:numId="14">
    <w:abstractNumId w:val="7"/>
    <w:lvlOverride w:ilvl="0">
      <w:startOverride w:val="6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3A"/>
    <w:rsid w:val="0062603A"/>
    <w:rsid w:val="00C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82B8C-4128-4686-A114-A6ACFBB2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2603A"/>
    <w:pPr>
      <w:spacing w:after="6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1">
    <w:name w:val="heading 1"/>
    <w:basedOn w:val="a"/>
    <w:next w:val="a"/>
    <w:link w:val="10"/>
    <w:uiPriority w:val="9"/>
    <w:qFormat/>
    <w:rsid w:val="0062603A"/>
    <w:pPr>
      <w:keepNext/>
      <w:keepLines/>
      <w:numPr>
        <w:numId w:val="3"/>
      </w:numPr>
      <w:spacing w:before="360" w:after="240"/>
      <w:ind w:left="357" w:hanging="357"/>
      <w:outlineLvl w:val="0"/>
    </w:pPr>
    <w:rPr>
      <w:rFonts w:ascii="Times New Roman Bold" w:eastAsiaTheme="majorEastAsia" w:hAnsi="Times New Roman Bold" w:cstheme="majorBidi"/>
      <w:b/>
      <w:caps/>
      <w:color w:val="0070C0"/>
      <w:szCs w:val="32"/>
    </w:rPr>
  </w:style>
  <w:style w:type="paragraph" w:styleId="2">
    <w:name w:val="heading 2"/>
    <w:basedOn w:val="a"/>
    <w:next w:val="a"/>
    <w:link w:val="20"/>
    <w:qFormat/>
    <w:rsid w:val="0062603A"/>
    <w:pPr>
      <w:keepNext/>
      <w:tabs>
        <w:tab w:val="left" w:pos="900"/>
      </w:tabs>
      <w:spacing w:before="120" w:after="120"/>
      <w:outlineLvl w:val="1"/>
    </w:pPr>
    <w:rPr>
      <w:b/>
      <w:color w:val="0070C0"/>
      <w:sz w:val="26"/>
    </w:rPr>
  </w:style>
  <w:style w:type="paragraph" w:styleId="4">
    <w:name w:val="heading 4"/>
    <w:basedOn w:val="a"/>
    <w:next w:val="a"/>
    <w:link w:val="40"/>
    <w:qFormat/>
    <w:rsid w:val="0062603A"/>
    <w:pPr>
      <w:keepNext/>
      <w:ind w:left="1134"/>
      <w:outlineLvl w:val="3"/>
    </w:pPr>
    <w:rPr>
      <w:i/>
      <w:snapToGrid w:val="0"/>
      <w:color w:val="000000"/>
      <w:u w:val="single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2603A"/>
    <w:rPr>
      <w:rFonts w:ascii="Times New Roman Bold" w:eastAsiaTheme="majorEastAsia" w:hAnsi="Times New Roman Bold" w:cstheme="majorBidi"/>
      <w:b/>
      <w:caps/>
      <w:color w:val="0070C0"/>
      <w:sz w:val="24"/>
      <w:szCs w:val="32"/>
      <w:lang w:eastAsia="de-DE"/>
    </w:rPr>
  </w:style>
  <w:style w:type="character" w:customStyle="1" w:styleId="20">
    <w:name w:val="Заглавие 2 Знак"/>
    <w:basedOn w:val="a0"/>
    <w:link w:val="2"/>
    <w:rsid w:val="0062603A"/>
    <w:rPr>
      <w:rFonts w:ascii="Times New Roman" w:eastAsia="Times New Roman" w:hAnsi="Times New Roman" w:cs="Times New Roman"/>
      <w:b/>
      <w:color w:val="0070C0"/>
      <w:sz w:val="26"/>
      <w:szCs w:val="24"/>
      <w:lang w:eastAsia="de-DE"/>
    </w:rPr>
  </w:style>
  <w:style w:type="character" w:customStyle="1" w:styleId="40">
    <w:name w:val="Заглавие 4 Знак"/>
    <w:basedOn w:val="a0"/>
    <w:link w:val="4"/>
    <w:rsid w:val="0062603A"/>
    <w:rPr>
      <w:rFonts w:ascii="Times New Roman" w:eastAsia="Times New Roman" w:hAnsi="Times New Roman" w:cs="Times New Roman"/>
      <w:i/>
      <w:snapToGrid w:val="0"/>
      <w:color w:val="000000"/>
      <w:sz w:val="24"/>
      <w:szCs w:val="24"/>
      <w:u w:val="single"/>
      <w:lang w:val="ru-RU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Hyperlink"/>
    <w:basedOn w:val="a0"/>
    <w:uiPriority w:val="99"/>
    <w:rsid w:val="0062603A"/>
    <w:rPr>
      <w:color w:val="0000FF"/>
      <w:u w:val="single"/>
    </w:rPr>
  </w:style>
  <w:style w:type="character" w:customStyle="1" w:styleId="WW8Num6z1">
    <w:name w:val="WW8Num6z1"/>
    <w:rsid w:val="0062603A"/>
    <w:rPr>
      <w:rFonts w:ascii="Courier New" w:hAnsi="Courier New" w:cs="Courier New"/>
    </w:rPr>
  </w:style>
  <w:style w:type="paragraph" w:styleId="a4">
    <w:name w:val="No Spacing"/>
    <w:uiPriority w:val="1"/>
    <w:qFormat/>
    <w:rsid w:val="0062603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a5">
    <w:name w:val="List Paragraph"/>
    <w:basedOn w:val="a"/>
    <w:uiPriority w:val="34"/>
    <w:qFormat/>
    <w:rsid w:val="0062603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62603A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62603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603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ciela.net/act.aspx?ID=1&amp;IDNA=7F48FDE2&amp;IDST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srysina</dc:creator>
  <cp:keywords/>
  <dc:description/>
  <cp:lastModifiedBy>srysina</cp:lastModifiedBy>
  <cp:revision>1</cp:revision>
  <dcterms:created xsi:type="dcterms:W3CDTF">2016-06-27T12:16:00Z</dcterms:created>
  <dcterms:modified xsi:type="dcterms:W3CDTF">2016-06-27T12:18:00Z</dcterms:modified>
</cp:coreProperties>
</file>